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6ADFD" w14:textId="4342D37E" w:rsidR="00C10D58" w:rsidRPr="000113CA" w:rsidRDefault="00B32CCF" w:rsidP="0031382F">
      <w:pPr>
        <w:spacing w:after="139" w:line="259" w:lineRule="auto"/>
        <w:ind w:left="0" w:right="5" w:firstLine="0"/>
        <w:jc w:val="right"/>
        <w:rPr>
          <w:bCs/>
          <w:color w:val="auto"/>
          <w:sz w:val="20"/>
          <w:szCs w:val="20"/>
        </w:rPr>
      </w:pPr>
      <w:r w:rsidRPr="000113CA">
        <w:rPr>
          <w:bCs/>
          <w:color w:val="auto"/>
          <w:sz w:val="20"/>
          <w:szCs w:val="20"/>
        </w:rPr>
        <w:t xml:space="preserve">Załącznik nr 2 do Regulaminu </w:t>
      </w:r>
      <w:r w:rsidR="00DF4FE2" w:rsidRPr="000113CA">
        <w:rPr>
          <w:bCs/>
          <w:color w:val="auto"/>
          <w:sz w:val="20"/>
          <w:szCs w:val="20"/>
        </w:rPr>
        <w:t>wyboru projektów</w:t>
      </w:r>
      <w:r w:rsidRPr="000113CA">
        <w:rPr>
          <w:bCs/>
          <w:color w:val="auto"/>
          <w:sz w:val="20"/>
          <w:szCs w:val="20"/>
        </w:rPr>
        <w:t xml:space="preserve"> </w:t>
      </w:r>
    </w:p>
    <w:p w14:paraId="6FED775B" w14:textId="77777777" w:rsidR="00C10D58" w:rsidRPr="000113CA" w:rsidRDefault="00B32CCF">
      <w:pPr>
        <w:spacing w:after="139" w:line="259" w:lineRule="auto"/>
        <w:ind w:left="50" w:right="0" w:firstLine="0"/>
        <w:jc w:val="center"/>
        <w:rPr>
          <w:color w:val="auto"/>
        </w:rPr>
      </w:pPr>
      <w:r w:rsidRPr="000113CA">
        <w:rPr>
          <w:b/>
          <w:color w:val="auto"/>
        </w:rPr>
        <w:t xml:space="preserve"> </w:t>
      </w:r>
    </w:p>
    <w:p w14:paraId="6610F71A" w14:textId="7B4B8921" w:rsidR="00140E57" w:rsidRPr="000113CA" w:rsidRDefault="001128B7" w:rsidP="006158EC">
      <w:pPr>
        <w:spacing w:after="232" w:line="259" w:lineRule="auto"/>
        <w:ind w:left="0" w:right="9" w:firstLine="0"/>
        <w:jc w:val="left"/>
        <w:rPr>
          <w:b/>
          <w:color w:val="auto"/>
          <w:sz w:val="26"/>
          <w:szCs w:val="26"/>
        </w:rPr>
      </w:pPr>
      <w:r w:rsidRPr="000113CA">
        <w:rPr>
          <w:b/>
          <w:color w:val="auto"/>
          <w:sz w:val="26"/>
          <w:szCs w:val="26"/>
        </w:rPr>
        <w:t>Przykładowy k</w:t>
      </w:r>
      <w:r w:rsidR="00643600" w:rsidRPr="000113CA">
        <w:rPr>
          <w:b/>
          <w:color w:val="auto"/>
          <w:sz w:val="26"/>
          <w:szCs w:val="26"/>
        </w:rPr>
        <w:t xml:space="preserve">atalog wydatków kwalifikowalnych i niekwalifikowalnych </w:t>
      </w:r>
    </w:p>
    <w:p w14:paraId="54CE6B5E" w14:textId="54449C3D" w:rsidR="00643600" w:rsidRPr="000113CA" w:rsidRDefault="00643600" w:rsidP="00E7154D">
      <w:pPr>
        <w:tabs>
          <w:tab w:val="left" w:pos="5518"/>
        </w:tabs>
        <w:spacing w:after="232" w:line="276" w:lineRule="auto"/>
        <w:ind w:left="0" w:right="9" w:firstLine="0"/>
        <w:rPr>
          <w:b/>
          <w:bCs/>
          <w:color w:val="auto"/>
          <w:szCs w:val="24"/>
        </w:rPr>
      </w:pPr>
      <w:r w:rsidRPr="000113CA">
        <w:rPr>
          <w:color w:val="auto"/>
          <w:szCs w:val="24"/>
        </w:rPr>
        <w:t xml:space="preserve">Działanie </w:t>
      </w:r>
      <w:r w:rsidR="00B32CCF" w:rsidRPr="000113CA">
        <w:rPr>
          <w:b/>
          <w:bCs/>
          <w:color w:val="auto"/>
          <w:szCs w:val="24"/>
        </w:rPr>
        <w:t>FELB.02.</w:t>
      </w:r>
      <w:r w:rsidR="004A0890" w:rsidRPr="000113CA">
        <w:rPr>
          <w:b/>
          <w:bCs/>
          <w:color w:val="auto"/>
          <w:szCs w:val="24"/>
        </w:rPr>
        <w:t>1</w:t>
      </w:r>
      <w:r w:rsidR="006D6E61" w:rsidRPr="000113CA">
        <w:rPr>
          <w:b/>
          <w:bCs/>
          <w:color w:val="auto"/>
          <w:szCs w:val="24"/>
        </w:rPr>
        <w:t>4</w:t>
      </w:r>
      <w:r w:rsidR="00B32CCF" w:rsidRPr="000113CA">
        <w:rPr>
          <w:b/>
          <w:bCs/>
          <w:color w:val="auto"/>
          <w:szCs w:val="24"/>
        </w:rPr>
        <w:t xml:space="preserve"> </w:t>
      </w:r>
      <w:r w:rsidR="004A0890" w:rsidRPr="000113CA">
        <w:rPr>
          <w:b/>
          <w:bCs/>
          <w:color w:val="auto"/>
          <w:szCs w:val="24"/>
        </w:rPr>
        <w:t>Ochrona przyrody</w:t>
      </w:r>
      <w:r w:rsidR="0027010A" w:rsidRPr="000113CA">
        <w:rPr>
          <w:b/>
          <w:bCs/>
          <w:color w:val="auto"/>
          <w:szCs w:val="24"/>
        </w:rPr>
        <w:t xml:space="preserve"> - </w:t>
      </w:r>
      <w:r w:rsidR="006D6E61" w:rsidRPr="000113CA">
        <w:rPr>
          <w:b/>
          <w:bCs/>
          <w:color w:val="auto"/>
          <w:szCs w:val="24"/>
        </w:rPr>
        <w:t>I</w:t>
      </w:r>
      <w:r w:rsidR="0027010A" w:rsidRPr="000113CA">
        <w:rPr>
          <w:b/>
          <w:bCs/>
          <w:color w:val="auto"/>
          <w:szCs w:val="24"/>
        </w:rPr>
        <w:t>IT</w:t>
      </w:r>
      <w:r w:rsidRPr="000113CA">
        <w:rPr>
          <w:b/>
          <w:bCs/>
          <w:color w:val="auto"/>
          <w:szCs w:val="24"/>
        </w:rPr>
        <w:t>.</w:t>
      </w:r>
      <w:r w:rsidR="00E7154D" w:rsidRPr="000113CA">
        <w:rPr>
          <w:b/>
          <w:bCs/>
          <w:color w:val="auto"/>
          <w:szCs w:val="24"/>
        </w:rPr>
        <w:tab/>
      </w:r>
    </w:p>
    <w:p w14:paraId="6396A5E6" w14:textId="00DA1DF4" w:rsidR="006D6E61" w:rsidRPr="000113CA" w:rsidRDefault="006D6E61" w:rsidP="006D6E61">
      <w:pPr>
        <w:spacing w:after="0" w:line="276" w:lineRule="auto"/>
        <w:ind w:right="6"/>
        <w:rPr>
          <w:b/>
          <w:bCs/>
          <w:color w:val="auto"/>
          <w:szCs w:val="24"/>
        </w:rPr>
      </w:pPr>
      <w:r w:rsidRPr="000113CA">
        <w:rPr>
          <w:b/>
          <w:bCs/>
          <w:color w:val="auto"/>
          <w:szCs w:val="24"/>
        </w:rPr>
        <w:t>Typ III: Projekty z zakresu usuwania azbestu z budynków publicznych i prywatnych</w:t>
      </w:r>
      <w:r w:rsidR="009913C9" w:rsidRPr="000113CA">
        <w:rPr>
          <w:b/>
          <w:bCs/>
          <w:color w:val="auto"/>
          <w:szCs w:val="24"/>
        </w:rPr>
        <w:t>.</w:t>
      </w:r>
    </w:p>
    <w:p w14:paraId="47F02A61" w14:textId="5D797F8C" w:rsidR="006D6E61" w:rsidRPr="000113CA" w:rsidRDefault="006D6E61" w:rsidP="006158EC">
      <w:pPr>
        <w:spacing w:before="240" w:after="0" w:line="276" w:lineRule="auto"/>
        <w:ind w:right="6"/>
        <w:rPr>
          <w:b/>
          <w:bCs/>
          <w:color w:val="auto"/>
          <w:szCs w:val="24"/>
        </w:rPr>
      </w:pPr>
      <w:r w:rsidRPr="000113CA">
        <w:rPr>
          <w:b/>
          <w:bCs/>
          <w:color w:val="auto"/>
          <w:szCs w:val="24"/>
        </w:rPr>
        <w:t>Typ IV: Projekty służące edukacji i informacji w zakresie ochrony przyrody i</w:t>
      </w:r>
      <w:r w:rsidR="00E839DE" w:rsidRPr="000113CA">
        <w:rPr>
          <w:b/>
          <w:bCs/>
          <w:color w:val="auto"/>
          <w:szCs w:val="24"/>
        </w:rPr>
        <w:t> </w:t>
      </w:r>
      <w:r w:rsidRPr="000113CA">
        <w:rPr>
          <w:b/>
          <w:bCs/>
          <w:color w:val="auto"/>
          <w:szCs w:val="24"/>
        </w:rPr>
        <w:t>różnorodności biologicznej.</w:t>
      </w:r>
    </w:p>
    <w:p w14:paraId="7D9936C8" w14:textId="54DD7684" w:rsidR="00F844D2" w:rsidRPr="000113CA" w:rsidRDefault="00F844D2" w:rsidP="00F844D2">
      <w:pPr>
        <w:spacing w:before="240" w:after="120" w:line="276" w:lineRule="auto"/>
        <w:ind w:left="0" w:right="0" w:firstLine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Początkiem okresu kwalifikowalności wydatków jest </w:t>
      </w:r>
      <w:r w:rsidRPr="000113CA">
        <w:rPr>
          <w:b/>
          <w:color w:val="auto"/>
          <w:szCs w:val="24"/>
          <w:u w:val="single" w:color="000000"/>
        </w:rPr>
        <w:t>1 stycznia 2021 r.</w:t>
      </w:r>
      <w:r w:rsidRPr="000113CA">
        <w:rPr>
          <w:color w:val="auto"/>
          <w:szCs w:val="24"/>
        </w:rPr>
        <w:t xml:space="preserve"> W  przypadku projektów rozpoczętych przed początkową datą kwalifikowalności wydatków, do</w:t>
      </w:r>
      <w:r w:rsidR="00E839DE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 xml:space="preserve">współfinansowania kwalifikują się jedynie wydatki faktycznie poniesione od tej daty. Wydatki poniesione wcześniej nie stanowią wydatku kwalifikowalnego. Końcową data kwalifikowalności wydatków jest dzień </w:t>
      </w:r>
      <w:r w:rsidRPr="000113CA">
        <w:rPr>
          <w:b/>
          <w:color w:val="auto"/>
          <w:szCs w:val="24"/>
          <w:u w:val="single" w:color="000000"/>
        </w:rPr>
        <w:t>31 grudnia 2029 r.</w:t>
      </w:r>
      <w:r w:rsidRPr="000113CA">
        <w:rPr>
          <w:b/>
          <w:color w:val="auto"/>
          <w:szCs w:val="24"/>
        </w:rPr>
        <w:t xml:space="preserve"> </w:t>
      </w:r>
    </w:p>
    <w:p w14:paraId="79D79B93" w14:textId="77777777" w:rsidR="00F844D2" w:rsidRPr="000113CA" w:rsidRDefault="00F844D2" w:rsidP="00F844D2">
      <w:pPr>
        <w:spacing w:after="120"/>
        <w:ind w:left="-15" w:firstLine="0"/>
        <w:rPr>
          <w:color w:val="auto"/>
          <w:szCs w:val="24"/>
          <w:u w:val="single" w:color="000000"/>
        </w:rPr>
      </w:pPr>
      <w:r w:rsidRPr="000113CA">
        <w:rPr>
          <w:color w:val="auto"/>
          <w:szCs w:val="24"/>
        </w:rPr>
        <w:t xml:space="preserve">Dofinansowania nie może uzyskać projekt, który został fizycznie ukończony (w przypadku robót budowlanych) lub w pełni wdrożony (w przypadku dostaw i usług) </w:t>
      </w:r>
      <w:r w:rsidRPr="000113CA">
        <w:rPr>
          <w:color w:val="auto"/>
          <w:szCs w:val="24"/>
          <w:u w:val="single" w:color="000000"/>
        </w:rPr>
        <w:t>przed złożeniem wniosku o  dofinansowanie</w:t>
      </w:r>
      <w:r w:rsidRPr="000113CA">
        <w:rPr>
          <w:color w:val="auto"/>
          <w:szCs w:val="24"/>
        </w:rPr>
        <w:t xml:space="preserve"> w ramach ogłoszonego naboru, niezależnie od tego, czy wszystkie powiązane płatności zostały dokonane przez Beneficjenta. </w:t>
      </w:r>
    </w:p>
    <w:p w14:paraId="5F785F98" w14:textId="77777777" w:rsidR="00F844D2" w:rsidRPr="000113CA" w:rsidRDefault="00F844D2" w:rsidP="00F844D2">
      <w:pPr>
        <w:spacing w:line="276" w:lineRule="auto"/>
        <w:ind w:left="-5"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 </w:t>
      </w:r>
      <w:r w:rsidRPr="000113CA">
        <w:rPr>
          <w:b/>
          <w:color w:val="auto"/>
          <w:szCs w:val="24"/>
          <w:u w:val="single" w:color="000000"/>
        </w:rPr>
        <w:t>Ocena kwalifikowalności wydatku</w:t>
      </w:r>
      <w:r w:rsidRPr="000113CA">
        <w:rPr>
          <w:color w:val="auto"/>
          <w:szCs w:val="24"/>
        </w:rPr>
        <w:t xml:space="preserve"> polega na analizie jego poniesienia zgodnie z  obowiązującymi przepisami prawa unijnego i prawa krajowego, umową o  dofinansowanie/ decyzją/porozumieniem, </w:t>
      </w:r>
      <w:r w:rsidRPr="000113CA">
        <w:rPr>
          <w:i/>
          <w:color w:val="auto"/>
          <w:szCs w:val="24"/>
        </w:rPr>
        <w:t>Wytycznymi Minister Funduszy i Polityki Regionalnej dotyczące kwalifikowalności wydatków na lata 2021-2027</w:t>
      </w:r>
      <w:r w:rsidRPr="000113CA">
        <w:rPr>
          <w:color w:val="auto"/>
          <w:szCs w:val="24"/>
        </w:rPr>
        <w:t xml:space="preserve"> z 14 marca 2025 r. (zwanymi dalej Wytycznymi) oraz innymi dokumentami, do których stosowania Beneficjent zobowiązał się w umowie  o dofinansowanie/decyzji/ porozumieniu.</w:t>
      </w:r>
    </w:p>
    <w:p w14:paraId="40AF5FD0" w14:textId="4F188DA7" w:rsidR="009913C9" w:rsidRPr="000113CA" w:rsidRDefault="00F844D2" w:rsidP="00E839DE">
      <w:pPr>
        <w:spacing w:before="240" w:after="0" w:line="276" w:lineRule="auto"/>
        <w:ind w:left="-5"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Na etapie oceny formalnej oraz oceny merytorycznej projektu o dofinansowanie dokonywana jest ocena kwalifikowalności </w:t>
      </w:r>
      <w:r w:rsidRPr="000113CA">
        <w:rPr>
          <w:b/>
          <w:color w:val="auto"/>
          <w:szCs w:val="24"/>
          <w:u w:val="single" w:color="000000"/>
        </w:rPr>
        <w:t>planowanych</w:t>
      </w:r>
      <w:r w:rsidRPr="000113CA">
        <w:rPr>
          <w:color w:val="auto"/>
          <w:szCs w:val="24"/>
        </w:rPr>
        <w:t xml:space="preserve"> wydatków. </w:t>
      </w:r>
      <w:r w:rsidRPr="000113CA">
        <w:rPr>
          <w:color w:val="auto"/>
          <w:szCs w:val="24"/>
          <w:u w:val="single" w:color="000000"/>
        </w:rPr>
        <w:t>Pozytywna ocena i przyznanie dofinansowania</w:t>
      </w:r>
      <w:r w:rsidRPr="000113CA">
        <w:rPr>
          <w:color w:val="auto"/>
          <w:szCs w:val="24"/>
        </w:rPr>
        <w:t xml:space="preserve"> </w:t>
      </w:r>
      <w:r w:rsidRPr="000113CA">
        <w:rPr>
          <w:color w:val="auto"/>
          <w:szCs w:val="24"/>
          <w:u w:val="single" w:color="000000"/>
        </w:rPr>
        <w:t>na realizację projektu i podpisanie z Beneficjentem umowy o dofinansowanie nie oznacza, że wszystkie</w:t>
      </w:r>
      <w:r w:rsidRPr="000113CA">
        <w:rPr>
          <w:color w:val="auto"/>
          <w:szCs w:val="24"/>
        </w:rPr>
        <w:t xml:space="preserve"> </w:t>
      </w:r>
      <w:r w:rsidRPr="000113CA">
        <w:rPr>
          <w:color w:val="auto"/>
          <w:szCs w:val="24"/>
          <w:u w:val="single" w:color="000000"/>
        </w:rPr>
        <w:t>wydatki, które Beneficjent przedstawi we wniosku o płatność w trakcie realizacji projektu na pewno będą</w:t>
      </w:r>
      <w:r w:rsidRPr="000113CA">
        <w:rPr>
          <w:color w:val="auto"/>
          <w:szCs w:val="24"/>
        </w:rPr>
        <w:t xml:space="preserve"> </w:t>
      </w:r>
      <w:r w:rsidRPr="000113CA">
        <w:rPr>
          <w:color w:val="auto"/>
          <w:szCs w:val="24"/>
          <w:u w:val="single" w:color="000000"/>
        </w:rPr>
        <w:t>zrefundowane lub rozliczone (w przypadku zaliczek).</w:t>
      </w:r>
      <w:r w:rsidRPr="000113CA">
        <w:rPr>
          <w:color w:val="auto"/>
          <w:szCs w:val="24"/>
        </w:rPr>
        <w:t xml:space="preserve"> Kwalifikowalność wydatków jest również oceniana w trakcie realizacji projektu, kiedy Beneficjent przedkłada kolejne wnioski o płatność oraz podczas kontroli projektu. Ocena kwalifikowalności poniesionych wydatków jest prowadzona także  po zakończeniu realizacji projektu w  zakresie obowiązków nałożonych na Beneficjenta Umową  o dofinansowanie oraz wynikających z przepisów prawa</w:t>
      </w:r>
      <w:r w:rsidR="00B32CCF" w:rsidRPr="000113CA">
        <w:rPr>
          <w:color w:val="auto"/>
          <w:szCs w:val="24"/>
        </w:rPr>
        <w:t>.</w:t>
      </w:r>
    </w:p>
    <w:p w14:paraId="08F3906D" w14:textId="77777777" w:rsidR="006158EC" w:rsidRPr="000113CA" w:rsidRDefault="006158EC" w:rsidP="009913C9">
      <w:pPr>
        <w:spacing w:after="0" w:line="276" w:lineRule="auto"/>
        <w:ind w:left="-5" w:right="0"/>
        <w:rPr>
          <w:color w:val="auto"/>
          <w:szCs w:val="24"/>
        </w:rPr>
      </w:pPr>
    </w:p>
    <w:p w14:paraId="636394F4" w14:textId="2B0D84E0" w:rsidR="00F844D2" w:rsidRPr="000113CA" w:rsidRDefault="00F844D2" w:rsidP="00F844D2">
      <w:pPr>
        <w:spacing w:before="240" w:line="240" w:lineRule="auto"/>
        <w:ind w:left="-5" w:right="0"/>
        <w:rPr>
          <w:color w:val="auto"/>
          <w:szCs w:val="24"/>
        </w:rPr>
      </w:pPr>
      <w:r w:rsidRPr="000113CA">
        <w:rPr>
          <w:color w:val="auto"/>
          <w:szCs w:val="24"/>
        </w:rPr>
        <w:lastRenderedPageBreak/>
        <w:t xml:space="preserve">W trakcie realizacji projektu sprawdzeniu podlega </w:t>
      </w:r>
      <w:r w:rsidRPr="000113CA">
        <w:rPr>
          <w:color w:val="auto"/>
          <w:szCs w:val="24"/>
          <w:u w:val="single" w:color="000000"/>
        </w:rPr>
        <w:t>w szczególności czy wydatek:</w:t>
      </w:r>
      <w:r w:rsidRPr="000113CA">
        <w:rPr>
          <w:color w:val="auto"/>
          <w:szCs w:val="24"/>
        </w:rPr>
        <w:t xml:space="preserve"> </w:t>
      </w:r>
    </w:p>
    <w:p w14:paraId="7E564E78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jest zgodny z przepisami prawa, </w:t>
      </w:r>
    </w:p>
    <w:p w14:paraId="500D5F22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jest zgodny z umową o dofinansowanie projektu i Wytycznymi oraz innymi procedurami, do stosowania których beneficjent zobowiązał się w umowie o  dofinansowanie projektu, </w:t>
      </w:r>
    </w:p>
    <w:p w14:paraId="2C0779D6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został faktycznie poniesiony zgodnie z zasadą określoną w podrozdziale 3.1, Wytycznych w okresie wskazanym w umowie o dofinansowanie projektu,  </w:t>
      </w:r>
    </w:p>
    <w:p w14:paraId="35D9E275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spełnia warunki określone w programie i SZOP oraz regulaminie wyboru projektów, </w:t>
      </w:r>
    </w:p>
    <w:p w14:paraId="02D16292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jest niezbędny do realizacji celów projektu i został poniesiony w związku z  realizacją projektu, </w:t>
      </w:r>
    </w:p>
    <w:p w14:paraId="35BF3A21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został dokonany w sposób przejrzysty, racjonalny i efektywny, z zachowaniem zasad uzyskiwania najlepszych efektów z danych nakładów, </w:t>
      </w:r>
    </w:p>
    <w:p w14:paraId="0425DB96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został należycie udokumentowany zgodnie z wymogami określonymi w  Wytycznych oraz z zasadami określonymi przez IZ, </w:t>
      </w:r>
    </w:p>
    <w:p w14:paraId="3B65BA92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został rozliczony we wniosku beneficjenta o płatność, </w:t>
      </w:r>
    </w:p>
    <w:p w14:paraId="48B34BE7" w14:textId="77777777" w:rsidR="00F844D2" w:rsidRPr="000113CA" w:rsidRDefault="00F844D2" w:rsidP="00F844D2">
      <w:pPr>
        <w:pStyle w:val="Akapitzlist"/>
        <w:numPr>
          <w:ilvl w:val="0"/>
          <w:numId w:val="5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>dotyczy towarów dostarczonych lub usług wykonanych lub robót budowlanych zrealizowanych.</w:t>
      </w:r>
    </w:p>
    <w:p w14:paraId="7705178D" w14:textId="77777777" w:rsidR="001128B7" w:rsidRPr="000113CA" w:rsidRDefault="00B32CCF" w:rsidP="00F844D2">
      <w:pPr>
        <w:spacing w:before="240" w:line="276" w:lineRule="auto"/>
        <w:ind w:left="0" w:right="0" w:firstLine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Katalog wydatków kwalifikowalnych jest </w:t>
      </w:r>
      <w:r w:rsidRPr="000113CA">
        <w:rPr>
          <w:b/>
          <w:bCs/>
          <w:color w:val="auto"/>
          <w:szCs w:val="24"/>
        </w:rPr>
        <w:t xml:space="preserve">katalogiem </w:t>
      </w:r>
      <w:r w:rsidR="001128B7" w:rsidRPr="000113CA">
        <w:rPr>
          <w:b/>
          <w:bCs/>
          <w:color w:val="auto"/>
          <w:szCs w:val="24"/>
        </w:rPr>
        <w:t xml:space="preserve">otwartym </w:t>
      </w:r>
      <w:r w:rsidR="001128B7" w:rsidRPr="000113CA">
        <w:rPr>
          <w:color w:val="auto"/>
          <w:szCs w:val="24"/>
        </w:rPr>
        <w:t>i zawiera jedynie przykłady wydatków, które w szczególności uznawane są przez IZ FEWL jako wydatki kwalifikowalne.</w:t>
      </w:r>
    </w:p>
    <w:p w14:paraId="2B5EDDF7" w14:textId="7159066F" w:rsidR="006D6E61" w:rsidRPr="000113CA" w:rsidRDefault="00B32CCF" w:rsidP="00E839DE">
      <w:pPr>
        <w:spacing w:before="240" w:after="0" w:line="276" w:lineRule="auto"/>
        <w:ind w:left="0" w:right="9" w:firstLine="0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Niniejszy załącznik do Regulaminu </w:t>
      </w:r>
      <w:r w:rsidR="00DF4FE2" w:rsidRPr="000113CA">
        <w:rPr>
          <w:color w:val="auto"/>
          <w:szCs w:val="24"/>
        </w:rPr>
        <w:t>wyboru projektów</w:t>
      </w:r>
      <w:r w:rsidRPr="000113CA">
        <w:rPr>
          <w:color w:val="auto"/>
          <w:szCs w:val="24"/>
        </w:rPr>
        <w:t xml:space="preserve"> określa </w:t>
      </w:r>
      <w:r w:rsidR="004B5208" w:rsidRPr="000113CA">
        <w:rPr>
          <w:color w:val="auto"/>
          <w:szCs w:val="24"/>
        </w:rPr>
        <w:t xml:space="preserve">przykładowy </w:t>
      </w:r>
      <w:r w:rsidRPr="000113CA">
        <w:rPr>
          <w:color w:val="auto"/>
          <w:szCs w:val="24"/>
        </w:rPr>
        <w:t>katalog wydatków kwalifikowalnych  w projektach realizowanych w ramach Priorytet</w:t>
      </w:r>
      <w:r w:rsidR="00F844D2" w:rsidRPr="000113CA">
        <w:rPr>
          <w:color w:val="auto"/>
          <w:szCs w:val="24"/>
        </w:rPr>
        <w:t>u</w:t>
      </w:r>
      <w:r w:rsidRPr="000113CA">
        <w:rPr>
          <w:color w:val="auto"/>
          <w:szCs w:val="24"/>
        </w:rPr>
        <w:t xml:space="preserve"> FELB.02 Fundusze europejskie na zielony rozwój lubuskiego </w:t>
      </w:r>
      <w:r w:rsidR="006D6E61" w:rsidRPr="000113CA">
        <w:rPr>
          <w:color w:val="auto"/>
          <w:szCs w:val="24"/>
        </w:rPr>
        <w:t>d</w:t>
      </w:r>
      <w:r w:rsidR="004A0890" w:rsidRPr="000113CA">
        <w:rPr>
          <w:color w:val="auto"/>
          <w:szCs w:val="24"/>
        </w:rPr>
        <w:t>ziałanie FELB.02.1</w:t>
      </w:r>
      <w:r w:rsidR="006D6E61" w:rsidRPr="000113CA">
        <w:rPr>
          <w:color w:val="auto"/>
          <w:szCs w:val="24"/>
        </w:rPr>
        <w:t>4</w:t>
      </w:r>
      <w:r w:rsidR="004A0890" w:rsidRPr="000113CA">
        <w:rPr>
          <w:color w:val="auto"/>
          <w:szCs w:val="24"/>
        </w:rPr>
        <w:t xml:space="preserve"> Ochrona przyrody</w:t>
      </w:r>
      <w:r w:rsidR="0027010A" w:rsidRPr="000113CA">
        <w:rPr>
          <w:color w:val="auto"/>
          <w:szCs w:val="24"/>
        </w:rPr>
        <w:t xml:space="preserve"> - </w:t>
      </w:r>
      <w:r w:rsidR="006D6E61" w:rsidRPr="000113CA">
        <w:rPr>
          <w:color w:val="auto"/>
          <w:szCs w:val="24"/>
        </w:rPr>
        <w:t>I</w:t>
      </w:r>
      <w:r w:rsidR="0027010A" w:rsidRPr="000113CA">
        <w:rPr>
          <w:color w:val="auto"/>
          <w:szCs w:val="24"/>
        </w:rPr>
        <w:t>IT</w:t>
      </w:r>
      <w:r w:rsidR="004A0890" w:rsidRPr="000113CA">
        <w:rPr>
          <w:color w:val="auto"/>
          <w:szCs w:val="24"/>
        </w:rPr>
        <w:t>.</w:t>
      </w:r>
      <w:r w:rsidR="00F82AC2" w:rsidRPr="000113CA">
        <w:rPr>
          <w:color w:val="auto"/>
          <w:szCs w:val="24"/>
        </w:rPr>
        <w:t xml:space="preserve"> </w:t>
      </w:r>
    </w:p>
    <w:p w14:paraId="067DF953" w14:textId="0860752D" w:rsidR="00C10D58" w:rsidRPr="000113CA" w:rsidRDefault="001128B7" w:rsidP="00F844D2">
      <w:pPr>
        <w:pStyle w:val="Nagwek1"/>
        <w:spacing w:before="240" w:line="276" w:lineRule="auto"/>
        <w:ind w:left="177" w:hanging="192"/>
        <w:rPr>
          <w:color w:val="auto"/>
          <w:sz w:val="24"/>
          <w:szCs w:val="24"/>
        </w:rPr>
      </w:pPr>
      <w:r w:rsidRPr="000113CA">
        <w:rPr>
          <w:color w:val="auto"/>
          <w:sz w:val="24"/>
          <w:szCs w:val="24"/>
        </w:rPr>
        <w:t>Przykładowe w</w:t>
      </w:r>
      <w:r w:rsidR="00B32CCF" w:rsidRPr="000113CA">
        <w:rPr>
          <w:color w:val="auto"/>
          <w:sz w:val="24"/>
          <w:szCs w:val="24"/>
        </w:rPr>
        <w:t>ydatki kwalifikowalne</w:t>
      </w:r>
      <w:r w:rsidR="00B32CCF" w:rsidRPr="000113CA">
        <w:rPr>
          <w:b w:val="0"/>
          <w:color w:val="auto"/>
          <w:sz w:val="24"/>
          <w:szCs w:val="24"/>
          <w:u w:val="none"/>
        </w:rPr>
        <w:t xml:space="preserve"> </w:t>
      </w:r>
    </w:p>
    <w:p w14:paraId="21068909" w14:textId="77777777" w:rsidR="00C46853" w:rsidRPr="000113CA" w:rsidRDefault="00C46853" w:rsidP="00C46853">
      <w:pPr>
        <w:spacing w:line="276" w:lineRule="auto"/>
        <w:ind w:left="0" w:right="0" w:firstLine="0"/>
        <w:rPr>
          <w:color w:val="auto"/>
          <w:szCs w:val="24"/>
        </w:rPr>
      </w:pPr>
    </w:p>
    <w:p w14:paraId="09C81C9D" w14:textId="5D9E1413" w:rsidR="006D6E61" w:rsidRPr="000113CA" w:rsidRDefault="006D6E61" w:rsidP="009913C9">
      <w:pPr>
        <w:spacing w:after="120" w:line="269" w:lineRule="auto"/>
        <w:ind w:left="-6" w:right="0" w:hanging="11"/>
        <w:rPr>
          <w:color w:val="auto"/>
          <w:szCs w:val="24"/>
          <w:u w:val="single"/>
        </w:rPr>
      </w:pPr>
      <w:r w:rsidRPr="000113CA">
        <w:rPr>
          <w:color w:val="auto"/>
          <w:szCs w:val="24"/>
          <w:u w:val="single"/>
        </w:rPr>
        <w:t>Typ III: Projekty z zakresu usuwania azbestu z budynków publicznych i prywatnych</w:t>
      </w:r>
      <w:r w:rsidR="002134CA" w:rsidRPr="000113CA">
        <w:rPr>
          <w:color w:val="auto"/>
          <w:szCs w:val="24"/>
          <w:u w:val="single"/>
        </w:rPr>
        <w:t>.</w:t>
      </w:r>
    </w:p>
    <w:p w14:paraId="2813F13A" w14:textId="69D97E46" w:rsidR="006D6E61" w:rsidRPr="000113CA" w:rsidRDefault="002134CA" w:rsidP="009913C9">
      <w:pPr>
        <w:pStyle w:val="Akapitzlist"/>
        <w:numPr>
          <w:ilvl w:val="3"/>
          <w:numId w:val="8"/>
        </w:numPr>
        <w:ind w:left="332" w:right="0" w:hanging="332"/>
        <w:rPr>
          <w:color w:val="auto"/>
        </w:rPr>
      </w:pPr>
      <w:r w:rsidRPr="000113CA">
        <w:rPr>
          <w:color w:val="auto"/>
        </w:rPr>
        <w:t>D</w:t>
      </w:r>
      <w:r w:rsidR="006D6E61" w:rsidRPr="000113CA">
        <w:rPr>
          <w:color w:val="auto"/>
        </w:rPr>
        <w:t>emontaż wyrobów azbestowych z możliwością zastąpienia materiałami nieszkodliwymi, w celu przywrócenia stanu obiektu sprzed demontażu. Koszty związane z wymianą materiałów na termoizolacyjne będą stanowić maksymalnie 30% kosztów projektu. Koszty związane z transportem wyrobów azbestowych na</w:t>
      </w:r>
      <w:r w:rsidR="00E839DE" w:rsidRPr="000113CA">
        <w:rPr>
          <w:color w:val="auto"/>
        </w:rPr>
        <w:t> </w:t>
      </w:r>
      <w:r w:rsidR="006D6E61" w:rsidRPr="000113CA">
        <w:rPr>
          <w:color w:val="auto"/>
        </w:rPr>
        <w:t>składowisko i koszty ich składowania są kwalifikowalne</w:t>
      </w:r>
      <w:r w:rsidR="006158EC" w:rsidRPr="000113CA">
        <w:rPr>
          <w:color w:val="auto"/>
        </w:rPr>
        <w:t xml:space="preserve">, </w:t>
      </w:r>
      <w:r w:rsidR="00C26F22" w:rsidRPr="000113CA">
        <w:rPr>
          <w:color w:val="auto"/>
        </w:rPr>
        <w:t>np.</w:t>
      </w:r>
      <w:r w:rsidR="006D6E61" w:rsidRPr="000113CA">
        <w:rPr>
          <w:color w:val="auto"/>
        </w:rPr>
        <w:t>;</w:t>
      </w:r>
    </w:p>
    <w:p w14:paraId="01469802" w14:textId="21E1E792" w:rsidR="009913C9" w:rsidRPr="000113CA" w:rsidRDefault="006158EC" w:rsidP="009913C9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z</w:t>
      </w:r>
      <w:r w:rsidR="009913C9" w:rsidRPr="000113CA">
        <w:rPr>
          <w:color w:val="auto"/>
        </w:rPr>
        <w:t>aładunek na terenie nieruchomości;</w:t>
      </w:r>
    </w:p>
    <w:p w14:paraId="0C4230CA" w14:textId="5782AF3B" w:rsidR="009913C9" w:rsidRPr="000113CA" w:rsidRDefault="006158EC" w:rsidP="009913C9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t</w:t>
      </w:r>
      <w:r w:rsidR="009913C9" w:rsidRPr="000113CA">
        <w:rPr>
          <w:color w:val="auto"/>
        </w:rPr>
        <w:t>ransport na składowisko odpadów niebezpiecznych;</w:t>
      </w:r>
    </w:p>
    <w:p w14:paraId="6256615D" w14:textId="0EDFF4C0" w:rsidR="009913C9" w:rsidRPr="000113CA" w:rsidRDefault="006158EC" w:rsidP="009913C9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u</w:t>
      </w:r>
      <w:r w:rsidR="009913C9" w:rsidRPr="000113CA">
        <w:rPr>
          <w:color w:val="auto"/>
        </w:rPr>
        <w:t>tylizacja wyrobów azbestowych</w:t>
      </w:r>
      <w:r w:rsidR="0038109F" w:rsidRPr="000113CA">
        <w:rPr>
          <w:color w:val="auto"/>
        </w:rPr>
        <w:t>.</w:t>
      </w:r>
    </w:p>
    <w:p w14:paraId="494AA076" w14:textId="77777777" w:rsidR="009913C9" w:rsidRPr="000113CA" w:rsidRDefault="009913C9" w:rsidP="009913C9">
      <w:pPr>
        <w:pStyle w:val="Akapitzlist"/>
        <w:spacing w:line="276" w:lineRule="auto"/>
        <w:ind w:right="0" w:firstLine="0"/>
        <w:rPr>
          <w:color w:val="auto"/>
        </w:rPr>
      </w:pPr>
    </w:p>
    <w:p w14:paraId="4D732CA7" w14:textId="77777777" w:rsidR="009913C9" w:rsidRPr="000113CA" w:rsidRDefault="009913C9" w:rsidP="009913C9">
      <w:pPr>
        <w:pStyle w:val="Akapitzlist"/>
        <w:spacing w:line="276" w:lineRule="auto"/>
        <w:ind w:right="0" w:firstLine="0"/>
        <w:rPr>
          <w:color w:val="auto"/>
        </w:rPr>
      </w:pPr>
    </w:p>
    <w:p w14:paraId="42DB2F96" w14:textId="77777777" w:rsidR="009913C9" w:rsidRPr="000113CA" w:rsidRDefault="009913C9" w:rsidP="009913C9">
      <w:pPr>
        <w:pStyle w:val="Akapitzlist"/>
        <w:spacing w:line="276" w:lineRule="auto"/>
        <w:ind w:right="0" w:firstLine="0"/>
        <w:rPr>
          <w:color w:val="auto"/>
        </w:rPr>
      </w:pPr>
    </w:p>
    <w:p w14:paraId="49BB78AE" w14:textId="54C3998F" w:rsidR="006D6E61" w:rsidRPr="000113CA" w:rsidRDefault="002134CA" w:rsidP="0038109F">
      <w:pPr>
        <w:pStyle w:val="Akapitzlist"/>
        <w:numPr>
          <w:ilvl w:val="3"/>
          <w:numId w:val="8"/>
        </w:numPr>
        <w:ind w:left="332" w:right="0" w:hanging="332"/>
        <w:rPr>
          <w:color w:val="auto"/>
        </w:rPr>
      </w:pPr>
      <w:r w:rsidRPr="000113CA">
        <w:rPr>
          <w:color w:val="auto"/>
        </w:rPr>
        <w:lastRenderedPageBreak/>
        <w:t>W</w:t>
      </w:r>
      <w:r w:rsidR="006D6E61" w:rsidRPr="000113CA">
        <w:rPr>
          <w:color w:val="auto"/>
        </w:rPr>
        <w:t>prowadzenie elementów edukacji i informacji w zakresie ochrony przyrody</w:t>
      </w:r>
      <w:r w:rsidR="00E625C0" w:rsidRPr="000113CA">
        <w:rPr>
          <w:color w:val="auto"/>
        </w:rPr>
        <w:t xml:space="preserve"> i </w:t>
      </w:r>
      <w:r w:rsidR="006D6E61" w:rsidRPr="000113CA">
        <w:rPr>
          <w:color w:val="auto"/>
        </w:rPr>
        <w:t>różnorodności biologicznej</w:t>
      </w:r>
      <w:r w:rsidRPr="000113CA">
        <w:rPr>
          <w:color w:val="auto"/>
        </w:rPr>
        <w:t>, np.:</w:t>
      </w:r>
    </w:p>
    <w:p w14:paraId="4301F735" w14:textId="28C7F227" w:rsidR="00B006B7" w:rsidRPr="000113CA" w:rsidRDefault="002134CA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</w:rPr>
        <w:t>s</w:t>
      </w:r>
      <w:r w:rsidR="00140E57" w:rsidRPr="000113CA">
        <w:rPr>
          <w:color w:val="auto"/>
        </w:rPr>
        <w:t>tworzenie</w:t>
      </w:r>
      <w:r w:rsidR="00140E57" w:rsidRPr="000113CA">
        <w:rPr>
          <w:color w:val="auto"/>
          <w:szCs w:val="24"/>
        </w:rPr>
        <w:t xml:space="preserve"> programów/zadań/działań przyczyniających się do wzrostu wiedzy z</w:t>
      </w:r>
      <w:r w:rsidR="00E839DE" w:rsidRPr="000113CA">
        <w:rPr>
          <w:color w:val="auto"/>
          <w:szCs w:val="24"/>
        </w:rPr>
        <w:t> </w:t>
      </w:r>
      <w:r w:rsidR="00140E57" w:rsidRPr="000113CA">
        <w:rPr>
          <w:color w:val="auto"/>
          <w:szCs w:val="24"/>
        </w:rPr>
        <w:t>zakresu ochrony środowiska, kształtujących postawy, zachowania proekologiczne tj.</w:t>
      </w:r>
      <w:r w:rsidR="00EE1044" w:rsidRPr="000113CA">
        <w:rPr>
          <w:color w:val="auto"/>
          <w:szCs w:val="24"/>
        </w:rPr>
        <w:t xml:space="preserve"> </w:t>
      </w:r>
      <w:r w:rsidR="00140E57" w:rsidRPr="000113CA">
        <w:rPr>
          <w:color w:val="auto"/>
          <w:szCs w:val="24"/>
        </w:rPr>
        <w:t>kampanie informacyjno</w:t>
      </w:r>
      <w:r w:rsidR="00DA33AE" w:rsidRPr="000113CA">
        <w:rPr>
          <w:color w:val="auto"/>
          <w:szCs w:val="24"/>
        </w:rPr>
        <w:t>-</w:t>
      </w:r>
      <w:r w:rsidR="00140E57" w:rsidRPr="000113CA">
        <w:rPr>
          <w:color w:val="auto"/>
          <w:szCs w:val="24"/>
        </w:rPr>
        <w:t>edukacyjne, zajęcia, warsztaty zwiększające świadomość ekologiczną mieszkańców regionu lub inne działania związane z działalnością edukacyjno-informacyjną społeczeństwa itp.</w:t>
      </w:r>
      <w:r w:rsidRPr="000113CA">
        <w:rPr>
          <w:color w:val="auto"/>
          <w:szCs w:val="24"/>
        </w:rPr>
        <w:t>;</w:t>
      </w:r>
    </w:p>
    <w:p w14:paraId="34D7881E" w14:textId="2727F580" w:rsidR="00D123CD" w:rsidRPr="000113CA" w:rsidRDefault="00D123C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organizacja zajęć dydaktycznych, edukacyjnych (stacjonarnych i terenowych), prezentacje multimedialne, projekcje filmowe itp.;</w:t>
      </w:r>
    </w:p>
    <w:p w14:paraId="4B8DBBA4" w14:textId="478E651F" w:rsidR="00D123CD" w:rsidRPr="000113CA" w:rsidRDefault="00D123C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publikacje, filmy i przeźrocza, wydawnictwa, gry i zabawy</w:t>
      </w:r>
      <w:r w:rsidR="000A1A0D" w:rsidRPr="000113CA">
        <w:rPr>
          <w:color w:val="auto"/>
        </w:rPr>
        <w:t xml:space="preserve"> o tematyce związanej z</w:t>
      </w:r>
      <w:r w:rsidR="00E839DE" w:rsidRPr="000113CA">
        <w:rPr>
          <w:color w:val="auto"/>
        </w:rPr>
        <w:t> </w:t>
      </w:r>
      <w:r w:rsidR="000A1A0D" w:rsidRPr="000113CA">
        <w:rPr>
          <w:color w:val="auto"/>
        </w:rPr>
        <w:t>edukacją ekologiczną;</w:t>
      </w:r>
    </w:p>
    <w:p w14:paraId="17646D21" w14:textId="77777777" w:rsidR="00D123CD" w:rsidRPr="000113CA" w:rsidRDefault="00D123C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praktyczne (badawcze) zajęcia np. spacery, piesze wycieczki, zajęcia w terenie, doświadczenia i eksperymenty;</w:t>
      </w:r>
    </w:p>
    <w:p w14:paraId="6114586D" w14:textId="77777777" w:rsidR="00B006B7" w:rsidRPr="000113CA" w:rsidRDefault="00B006B7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tablice edukacyjne (w tym z kodem QR), gry edukacyjne, totemy edukacyjne, totemy interaktywno-edukacyjne –  związane z typem projektu;</w:t>
      </w:r>
    </w:p>
    <w:p w14:paraId="6514913A" w14:textId="3433E0A7" w:rsidR="00B006B7" w:rsidRPr="000113CA" w:rsidRDefault="00B006B7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dostosowania dla osób z niepełnosprawnością ruchową oraz sensoryczną np.:</w:t>
      </w:r>
      <w:r w:rsidR="00E839DE" w:rsidRPr="000113CA">
        <w:rPr>
          <w:color w:val="auto"/>
        </w:rPr>
        <w:t> </w:t>
      </w:r>
      <w:r w:rsidRPr="000113CA">
        <w:rPr>
          <w:color w:val="auto"/>
        </w:rPr>
        <w:t>platforma, najazd/zjazd, tablice edukacyjne dla osób niewidomych;</w:t>
      </w:r>
    </w:p>
    <w:p w14:paraId="2B6E8158" w14:textId="63C33A3F" w:rsidR="00D123CD" w:rsidRPr="000113CA" w:rsidRDefault="00D123C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konkursy z zakresu edukacji ekologicznej wraz z nagrodami. Nagrody muszą być adekwatne do wieku uczestników i związane z tematyką projektu</w:t>
      </w:r>
      <w:r w:rsidR="002134CA" w:rsidRPr="000113CA">
        <w:rPr>
          <w:color w:val="auto"/>
        </w:rPr>
        <w:t>;</w:t>
      </w:r>
    </w:p>
    <w:p w14:paraId="4964D87F" w14:textId="7930877E" w:rsidR="00D123CD" w:rsidRPr="000113CA" w:rsidRDefault="00D123C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w przypadku zajęć edukacyjnych stacjonarnych trwających powyżej 6 godzin oraz jednorazowo w przypadku wydarzenia związanego z ogłoszeniem wyników w</w:t>
      </w:r>
      <w:r w:rsidR="00E839DE" w:rsidRPr="000113CA">
        <w:rPr>
          <w:color w:val="auto"/>
        </w:rPr>
        <w:t> </w:t>
      </w:r>
      <w:r w:rsidRPr="000113CA">
        <w:rPr>
          <w:color w:val="auto"/>
        </w:rPr>
        <w:t>konkursie ekologicznym, wraz z wręczeniem nagród, trwającego powyżej 4</w:t>
      </w:r>
      <w:r w:rsidR="00E839DE" w:rsidRPr="000113CA">
        <w:rPr>
          <w:color w:val="auto"/>
        </w:rPr>
        <w:t> </w:t>
      </w:r>
      <w:r w:rsidRPr="000113CA">
        <w:rPr>
          <w:color w:val="auto"/>
        </w:rPr>
        <w:t>godzin, istnieje możliwość zakupu poczęstunku dla uczestników, np.:</w:t>
      </w:r>
      <w:r w:rsidR="002134CA" w:rsidRPr="000113CA">
        <w:rPr>
          <w:color w:val="auto"/>
        </w:rPr>
        <w:t> </w:t>
      </w:r>
      <w:r w:rsidRPr="000113CA">
        <w:rPr>
          <w:color w:val="auto"/>
        </w:rPr>
        <w:t>kawa, herbata, woda, ciastka, słone i słodkie przekąski, catering „zimna</w:t>
      </w:r>
      <w:r w:rsidR="002134CA" w:rsidRPr="000113CA">
        <w:rPr>
          <w:color w:val="auto"/>
        </w:rPr>
        <w:t> </w:t>
      </w:r>
      <w:r w:rsidRPr="000113CA">
        <w:rPr>
          <w:color w:val="auto"/>
        </w:rPr>
        <w:t>płyta”;</w:t>
      </w:r>
    </w:p>
    <w:p w14:paraId="7A8AAB38" w14:textId="6A74AC7A" w:rsidR="00D123CD" w:rsidRPr="000113CA" w:rsidRDefault="00D123C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w przypadku zajęć edukacyjnych w terenie trwających powyżej 6 godzin istnieje możliwość zakupu poczęstunku dla uczestników, np.: napój w butelce od 0,3l do 0,5l w tym woda (</w:t>
      </w:r>
      <w:r w:rsidR="00B97F72" w:rsidRPr="000113CA">
        <w:rPr>
          <w:color w:val="auto"/>
        </w:rPr>
        <w:t xml:space="preserve">z wyłączeniem </w:t>
      </w:r>
      <w:r w:rsidRPr="000113CA">
        <w:rPr>
          <w:color w:val="auto"/>
        </w:rPr>
        <w:t>nap</w:t>
      </w:r>
      <w:r w:rsidR="00DA33AE" w:rsidRPr="000113CA">
        <w:rPr>
          <w:color w:val="auto"/>
        </w:rPr>
        <w:t>o</w:t>
      </w:r>
      <w:r w:rsidR="00B97F72" w:rsidRPr="000113CA">
        <w:rPr>
          <w:color w:val="auto"/>
        </w:rPr>
        <w:t>i</w:t>
      </w:r>
      <w:r w:rsidRPr="000113CA">
        <w:rPr>
          <w:color w:val="auto"/>
        </w:rPr>
        <w:t xml:space="preserve"> w puszkach), catering w formie kanapek, owoce</w:t>
      </w:r>
      <w:r w:rsidR="001D098D" w:rsidRPr="000113CA">
        <w:rPr>
          <w:color w:val="auto"/>
        </w:rPr>
        <w:t>;</w:t>
      </w:r>
    </w:p>
    <w:p w14:paraId="003E99DF" w14:textId="0BCB7E7E" w:rsidR="0077420D" w:rsidRPr="000113CA" w:rsidRDefault="001D098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</w:rPr>
        <w:t>inne działania</w:t>
      </w:r>
      <w:r w:rsidRPr="000113CA">
        <w:rPr>
          <w:color w:val="auto"/>
          <w:szCs w:val="24"/>
        </w:rPr>
        <w:t xml:space="preserve"> zwiększające świadomość społeczną w zakresie edukacji ekologicznej</w:t>
      </w:r>
      <w:r w:rsidR="00CC164B" w:rsidRPr="000113CA">
        <w:rPr>
          <w:color w:val="auto"/>
          <w:szCs w:val="24"/>
        </w:rPr>
        <w:t>.</w:t>
      </w:r>
    </w:p>
    <w:p w14:paraId="0D258CB0" w14:textId="25208771" w:rsidR="00595232" w:rsidRPr="000113CA" w:rsidRDefault="002134CA" w:rsidP="00DA33AE">
      <w:pPr>
        <w:pStyle w:val="Akapitzlist"/>
        <w:numPr>
          <w:ilvl w:val="3"/>
          <w:numId w:val="8"/>
        </w:numPr>
        <w:ind w:left="332" w:right="0" w:hanging="332"/>
        <w:rPr>
          <w:color w:val="auto"/>
          <w:szCs w:val="24"/>
        </w:rPr>
      </w:pPr>
      <w:r w:rsidRPr="000113CA">
        <w:rPr>
          <w:color w:val="auto"/>
        </w:rPr>
        <w:t>W</w:t>
      </w:r>
      <w:r w:rsidR="00595232" w:rsidRPr="000113CA">
        <w:rPr>
          <w:color w:val="auto"/>
        </w:rPr>
        <w:t>ydatki</w:t>
      </w:r>
      <w:r w:rsidR="00595232" w:rsidRPr="000113CA">
        <w:rPr>
          <w:color w:val="auto"/>
          <w:szCs w:val="24"/>
        </w:rPr>
        <w:t xml:space="preserve"> na działania informacyjne i informacyjno-promocyjne, bezpośrednio związane z realizacją projektu maksymalnie 30 tys. PLN wydatków kwalifikowalnych projektu (przykładowe działania: spotkania z lokalną społecznością, materiały w wersji elektronicznej, strona internetowa, w tym materiały do pobrania oraz publikacje on-line itd., artykuł w prasie lokalnej lub/i</w:t>
      </w:r>
      <w:r w:rsidRPr="000113CA">
        <w:rPr>
          <w:color w:val="auto"/>
          <w:szCs w:val="24"/>
        </w:rPr>
        <w:t> </w:t>
      </w:r>
      <w:r w:rsidR="00595232" w:rsidRPr="000113CA">
        <w:rPr>
          <w:color w:val="auto"/>
          <w:szCs w:val="24"/>
        </w:rPr>
        <w:t>audycja w lokalnym radiu lub/i reklama w lokalnej telewizji, kampanie w</w:t>
      </w:r>
      <w:r w:rsidRPr="000113CA">
        <w:rPr>
          <w:color w:val="auto"/>
          <w:szCs w:val="24"/>
        </w:rPr>
        <w:t> </w:t>
      </w:r>
      <w:r w:rsidR="00595232" w:rsidRPr="000113CA">
        <w:rPr>
          <w:color w:val="auto"/>
          <w:szCs w:val="24"/>
        </w:rPr>
        <w:t>szkołach, przedszkolach, tablice informacyjne, plakaty, naklejki itp.)</w:t>
      </w:r>
      <w:r w:rsidR="00CC164B" w:rsidRPr="000113CA">
        <w:rPr>
          <w:color w:val="auto"/>
          <w:szCs w:val="24"/>
        </w:rPr>
        <w:t>.</w:t>
      </w:r>
    </w:p>
    <w:p w14:paraId="7492E166" w14:textId="43336B85" w:rsidR="00595232" w:rsidRPr="000113CA" w:rsidRDefault="002134CA" w:rsidP="00DA33AE">
      <w:pPr>
        <w:pStyle w:val="Akapitzlist"/>
        <w:numPr>
          <w:ilvl w:val="3"/>
          <w:numId w:val="8"/>
        </w:numPr>
        <w:ind w:left="332" w:right="0" w:hanging="332"/>
        <w:rPr>
          <w:color w:val="auto"/>
          <w:szCs w:val="24"/>
        </w:rPr>
      </w:pPr>
      <w:r w:rsidRPr="000113CA">
        <w:rPr>
          <w:color w:val="auto"/>
        </w:rPr>
        <w:t>W</w:t>
      </w:r>
      <w:r w:rsidR="00595232" w:rsidRPr="000113CA">
        <w:rPr>
          <w:color w:val="auto"/>
        </w:rPr>
        <w:t>ydatki</w:t>
      </w:r>
      <w:r w:rsidR="00595232" w:rsidRPr="000113CA">
        <w:rPr>
          <w:color w:val="auto"/>
          <w:szCs w:val="24"/>
        </w:rPr>
        <w:t xml:space="preserve"> na działania informacyjno-edukacyjne w zakresie </w:t>
      </w:r>
      <w:r w:rsidR="00347A8A" w:rsidRPr="000113CA">
        <w:rPr>
          <w:color w:val="auto"/>
          <w:szCs w:val="24"/>
        </w:rPr>
        <w:t>edukacji i informacji w</w:t>
      </w:r>
      <w:r w:rsidR="00E839DE" w:rsidRPr="000113CA">
        <w:rPr>
          <w:color w:val="auto"/>
          <w:szCs w:val="24"/>
        </w:rPr>
        <w:t> </w:t>
      </w:r>
      <w:r w:rsidR="00347A8A" w:rsidRPr="000113CA">
        <w:rPr>
          <w:color w:val="auto"/>
          <w:szCs w:val="24"/>
        </w:rPr>
        <w:t xml:space="preserve">zakresie ochrony przyrody i różnorodności biologicznej, </w:t>
      </w:r>
      <w:r w:rsidR="00595232" w:rsidRPr="000113CA">
        <w:rPr>
          <w:color w:val="auto"/>
          <w:szCs w:val="24"/>
        </w:rPr>
        <w:t xml:space="preserve">(spotkania z lokalną społecznością, materiały w wersji elektronicznej, strona internetowa, w tym materiały do pobrania oraz publikacje on-line itd., artykuł w prasie lokalnej </w:t>
      </w:r>
      <w:r w:rsidR="00595232" w:rsidRPr="000113CA">
        <w:rPr>
          <w:color w:val="auto"/>
          <w:szCs w:val="24"/>
        </w:rPr>
        <w:lastRenderedPageBreak/>
        <w:t>lub/i</w:t>
      </w:r>
      <w:r w:rsidRPr="000113CA">
        <w:rPr>
          <w:color w:val="auto"/>
          <w:szCs w:val="24"/>
        </w:rPr>
        <w:t> </w:t>
      </w:r>
      <w:r w:rsidR="00595232" w:rsidRPr="000113CA">
        <w:rPr>
          <w:color w:val="auto"/>
          <w:szCs w:val="24"/>
        </w:rPr>
        <w:t>audycja w lokalnym radiu lub/i reklama w lokalnej telewizji, kampanie w</w:t>
      </w:r>
      <w:r w:rsidRPr="000113CA">
        <w:rPr>
          <w:color w:val="auto"/>
          <w:szCs w:val="24"/>
        </w:rPr>
        <w:t> </w:t>
      </w:r>
      <w:r w:rsidR="00595232" w:rsidRPr="000113CA">
        <w:rPr>
          <w:color w:val="auto"/>
          <w:szCs w:val="24"/>
        </w:rPr>
        <w:t>szkołach, przedszkolach)</w:t>
      </w:r>
      <w:r w:rsidR="00CC164B" w:rsidRPr="000113CA">
        <w:rPr>
          <w:color w:val="auto"/>
          <w:szCs w:val="24"/>
        </w:rPr>
        <w:t>.</w:t>
      </w:r>
    </w:p>
    <w:p w14:paraId="41DDFF5D" w14:textId="6004127B" w:rsidR="00595232" w:rsidRPr="000113CA" w:rsidRDefault="002134CA" w:rsidP="00DA33AE">
      <w:pPr>
        <w:pStyle w:val="Akapitzlist"/>
        <w:numPr>
          <w:ilvl w:val="3"/>
          <w:numId w:val="8"/>
        </w:numPr>
        <w:ind w:left="332" w:right="0" w:hanging="332"/>
        <w:rPr>
          <w:color w:val="auto"/>
          <w:szCs w:val="24"/>
        </w:rPr>
      </w:pPr>
      <w:r w:rsidRPr="000113CA">
        <w:rPr>
          <w:color w:val="auto"/>
        </w:rPr>
        <w:t>P</w:t>
      </w:r>
      <w:r w:rsidR="00595232" w:rsidRPr="000113CA">
        <w:rPr>
          <w:color w:val="auto"/>
        </w:rPr>
        <w:t>race</w:t>
      </w:r>
      <w:r w:rsidR="00595232" w:rsidRPr="000113CA">
        <w:rPr>
          <w:color w:val="auto"/>
          <w:szCs w:val="24"/>
        </w:rPr>
        <w:t xml:space="preserve"> przygotowawcze w zakresie wskazanym w umowie o dofinansowanie projektu przez IZ FEWL 21-27 oraz w umowie o dofinansowanie projektu realizowanego w trybie „zaprojektuj i wybuduj” tj.: analizy przygotowawcze (techniczne, finansowe, ekonomiczne), przygotowanie projektu budowlanego, złożenie wniosku o wydanie pozwolenia na budowę, przygotowanie oceny oddziaływania na środowisko, dokumentacji architektonicznej i planowania zieleni, przygotowanie studiów wykonalności, biznes planu, dokumentacji przetargowej, usługi doradcze związane z przygotowaniem inwestycji; podjęcie prac przygotowawczych</w:t>
      </w:r>
      <w:r w:rsidR="00CC164B" w:rsidRPr="000113CA">
        <w:rPr>
          <w:color w:val="auto"/>
          <w:szCs w:val="24"/>
        </w:rPr>
        <w:t>.</w:t>
      </w:r>
    </w:p>
    <w:p w14:paraId="7C9A6F9E" w14:textId="613AE0BD" w:rsidR="00595232" w:rsidRPr="000113CA" w:rsidRDefault="002134CA" w:rsidP="00DA33AE">
      <w:pPr>
        <w:pStyle w:val="Akapitzlist"/>
        <w:numPr>
          <w:ilvl w:val="3"/>
          <w:numId w:val="8"/>
        </w:numPr>
        <w:ind w:left="332" w:right="0" w:hanging="332"/>
        <w:rPr>
          <w:color w:val="auto"/>
          <w:szCs w:val="24"/>
        </w:rPr>
      </w:pPr>
      <w:r w:rsidRPr="000113CA">
        <w:rPr>
          <w:color w:val="auto"/>
        </w:rPr>
        <w:t>Z</w:t>
      </w:r>
      <w:r w:rsidR="00595232" w:rsidRPr="000113CA">
        <w:rPr>
          <w:color w:val="auto"/>
        </w:rPr>
        <w:t>godnie</w:t>
      </w:r>
      <w:r w:rsidR="00595232" w:rsidRPr="000113CA">
        <w:rPr>
          <w:color w:val="auto"/>
          <w:szCs w:val="24"/>
        </w:rPr>
        <w:t xml:space="preserve"> z Podrozdziałem 3.5. Podatek od towarów i usług (VAT) Wytycznych dotyczących kwalifikowalności wydatków na lata 2021-2027 Ministra Funduszy i Polityki Regionalnej, wydatki poniesione na podatek od towarów i usług mogą zostać uznane za kwalifikowalne:</w:t>
      </w:r>
    </w:p>
    <w:p w14:paraId="4BB902A0" w14:textId="1EF82032" w:rsidR="00595232" w:rsidRPr="000113CA" w:rsidRDefault="00595232" w:rsidP="00DA33AE">
      <w:pPr>
        <w:pStyle w:val="Akapitzlist"/>
        <w:numPr>
          <w:ilvl w:val="0"/>
          <w:numId w:val="13"/>
        </w:numPr>
        <w:ind w:left="284" w:hanging="218"/>
        <w:rPr>
          <w:color w:val="auto"/>
          <w:szCs w:val="24"/>
        </w:rPr>
      </w:pPr>
      <w:bookmarkStart w:id="0" w:name="_Hlk216164457"/>
      <w:r w:rsidRPr="000113CA">
        <w:rPr>
          <w:color w:val="auto"/>
          <w:szCs w:val="24"/>
        </w:rPr>
        <w:t>w projekcie, którego łączny koszt</w:t>
      </w:r>
      <w:r w:rsidRPr="000113CA">
        <w:rPr>
          <w:color w:val="auto"/>
          <w:szCs w:val="24"/>
          <w:vertAlign w:val="superscript"/>
        </w:rPr>
        <w:footnoteReference w:id="1"/>
      </w:r>
      <w:r w:rsidRPr="000113CA">
        <w:rPr>
          <w:color w:val="auto"/>
          <w:szCs w:val="24"/>
        </w:rPr>
        <w:t xml:space="preserve"> jest mniejszy niż 5 mln EUR (włączając VAT), z</w:t>
      </w:r>
      <w:r w:rsidR="00E839DE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>wyłączeniem projektów objętych pomocą publiczną;</w:t>
      </w:r>
    </w:p>
    <w:p w14:paraId="0863939C" w14:textId="3DB1E8F7" w:rsidR="00245868" w:rsidRPr="000113CA" w:rsidRDefault="00595232" w:rsidP="00DA33AE">
      <w:pPr>
        <w:pStyle w:val="Akapitzlist"/>
        <w:numPr>
          <w:ilvl w:val="0"/>
          <w:numId w:val="13"/>
        </w:numPr>
        <w:ind w:left="284" w:hanging="218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w ramach projektu, którego łączny koszt wynosi co najmniej 5 mln EUR (włączając VAT), biorąc pod uwagę, iż prawo do obniżenia podatku VAT należnego o podatek VAT naliczony może powstać zarówno w okresie realizacji projektu, jak i po jego zakończeniu, IZ będąca stroną umowy </w:t>
      </w:r>
      <w:r w:rsidR="000113CA" w:rsidRPr="000113CA">
        <w:rPr>
          <w:color w:val="auto"/>
          <w:szCs w:val="24"/>
        </w:rPr>
        <w:t>wymaga</w:t>
      </w:r>
      <w:r w:rsidRPr="000113CA">
        <w:rPr>
          <w:color w:val="auto"/>
          <w:szCs w:val="24"/>
        </w:rPr>
        <w:t>, aby beneficjenci, którzy zaliczą podatek VAT do wydatków kwalifikowalnych, dołączy</w:t>
      </w:r>
      <w:r w:rsidR="000113CA" w:rsidRPr="000113CA">
        <w:rPr>
          <w:color w:val="auto"/>
          <w:szCs w:val="24"/>
        </w:rPr>
        <w:t>li</w:t>
      </w:r>
      <w:r w:rsidRPr="000113CA">
        <w:rPr>
          <w:color w:val="auto"/>
          <w:szCs w:val="24"/>
        </w:rPr>
        <w:t xml:space="preserve"> do wniosku o</w:t>
      </w:r>
      <w:r w:rsidR="00E839DE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>dofinansowanie projektu „Oświadczenie o kwalifikowalności VAT”. Oświadczenie składa się z dwóch integralnych części. W ramach pierwszej części beneficjent oświadcza, iż w chwili składania wniosku o dofinansowanie projektu nie ma prawnej możliwości odzyskania podatku VAT, którego wysokość została określona w</w:t>
      </w:r>
      <w:r w:rsidR="00E839DE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>odpowiednim punkcie wniosku o dofinansowanie projektu (fakt ten decyduje o</w:t>
      </w:r>
      <w:r w:rsidR="00E839DE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 xml:space="preserve">kwalifikowalności </w:t>
      </w:r>
      <w:r w:rsidRPr="000113CA">
        <w:rPr>
          <w:rFonts w:ascii="ArialMT" w:eastAsiaTheme="minorEastAsia" w:hAnsi="ArialMT" w:cs="ArialMT"/>
          <w:color w:val="auto"/>
          <w:kern w:val="0"/>
          <w:szCs w:val="24"/>
        </w:rPr>
        <w:t>VAT). Natomiast w części drugiej beneficjent zobowiązuje się do zwrotu zrefundowanej ze środków unijnych części VAT, jeżeli zaistnieją przesłanki umożliwiające odzyskanie tego podatku.</w:t>
      </w:r>
      <w:r w:rsidR="002134CA" w:rsidRPr="000113CA">
        <w:rPr>
          <w:rFonts w:ascii="ArialMT" w:eastAsiaTheme="minorEastAsia" w:hAnsi="ArialMT" w:cs="ArialMT"/>
          <w:color w:val="auto"/>
          <w:kern w:val="0"/>
          <w:szCs w:val="24"/>
        </w:rPr>
        <w:t xml:space="preserve"> </w:t>
      </w:r>
      <w:r w:rsidRPr="000113CA">
        <w:rPr>
          <w:rFonts w:ascii="ArialMT" w:eastAsiaTheme="minorEastAsia" w:hAnsi="ArialMT" w:cs="ArialMT"/>
          <w:color w:val="auto"/>
          <w:kern w:val="0"/>
          <w:szCs w:val="24"/>
        </w:rPr>
        <w:t>„Oświadczenie o</w:t>
      </w:r>
      <w:r w:rsidR="00E839DE" w:rsidRPr="000113CA">
        <w:rPr>
          <w:rFonts w:ascii="ArialMT" w:eastAsiaTheme="minorEastAsia" w:hAnsi="ArialMT" w:cs="ArialMT"/>
          <w:color w:val="auto"/>
          <w:kern w:val="0"/>
          <w:szCs w:val="24"/>
        </w:rPr>
        <w:t> </w:t>
      </w:r>
      <w:r w:rsidRPr="000113CA">
        <w:rPr>
          <w:rFonts w:ascii="ArialMT" w:eastAsiaTheme="minorEastAsia" w:hAnsi="ArialMT" w:cs="ArialMT"/>
          <w:color w:val="auto"/>
          <w:kern w:val="0"/>
          <w:szCs w:val="24"/>
        </w:rPr>
        <w:t>kwalifikowalności VAT” podpisane przez beneficjenta stanowi załącznik do</w:t>
      </w:r>
      <w:r w:rsidR="00E839DE" w:rsidRPr="000113CA">
        <w:rPr>
          <w:rFonts w:ascii="ArialMT" w:eastAsiaTheme="minorEastAsia" w:hAnsi="ArialMT" w:cs="ArialMT"/>
          <w:color w:val="auto"/>
          <w:kern w:val="0"/>
          <w:szCs w:val="24"/>
        </w:rPr>
        <w:t> </w:t>
      </w:r>
      <w:r w:rsidRPr="000113CA">
        <w:rPr>
          <w:rFonts w:ascii="ArialMT" w:eastAsiaTheme="minorEastAsia" w:hAnsi="ArialMT" w:cs="ArialMT"/>
          <w:color w:val="auto"/>
          <w:kern w:val="0"/>
          <w:szCs w:val="24"/>
        </w:rPr>
        <w:t>zawieranej z beneficjentem umowy o dofinansowanie projektu.</w:t>
      </w:r>
      <w:bookmarkEnd w:id="0"/>
    </w:p>
    <w:p w14:paraId="08FC0007" w14:textId="77777777" w:rsidR="00245868" w:rsidRPr="000113CA" w:rsidRDefault="00245868" w:rsidP="00DA33AE">
      <w:pPr>
        <w:pStyle w:val="Nagwek1"/>
        <w:spacing w:before="240" w:line="276" w:lineRule="auto"/>
        <w:ind w:left="284" w:hanging="284"/>
        <w:rPr>
          <w:color w:val="auto"/>
          <w:sz w:val="24"/>
          <w:szCs w:val="24"/>
        </w:rPr>
      </w:pPr>
      <w:r w:rsidRPr="000113CA">
        <w:rPr>
          <w:color w:val="auto"/>
          <w:sz w:val="24"/>
          <w:szCs w:val="24"/>
        </w:rPr>
        <w:t xml:space="preserve">Przykładowe wydatki kwalifikowalne </w:t>
      </w:r>
    </w:p>
    <w:p w14:paraId="56C768CC" w14:textId="77777777" w:rsidR="00245868" w:rsidRPr="000113CA" w:rsidRDefault="00245868" w:rsidP="00245868">
      <w:pPr>
        <w:rPr>
          <w:color w:val="EE0000"/>
          <w:szCs w:val="24"/>
        </w:rPr>
      </w:pPr>
    </w:p>
    <w:p w14:paraId="5CECF190" w14:textId="665EEAC4" w:rsidR="00245868" w:rsidRPr="000113CA" w:rsidRDefault="00245868" w:rsidP="00245868">
      <w:pPr>
        <w:spacing w:after="120" w:line="269" w:lineRule="auto"/>
        <w:ind w:left="-6" w:right="0" w:hanging="11"/>
        <w:rPr>
          <w:color w:val="auto"/>
          <w:szCs w:val="24"/>
          <w:u w:val="single"/>
        </w:rPr>
      </w:pPr>
      <w:r w:rsidRPr="000113CA">
        <w:rPr>
          <w:color w:val="auto"/>
          <w:szCs w:val="24"/>
          <w:u w:val="single"/>
        </w:rPr>
        <w:t>Typ IV: Projekty służące edukacji i informacji w zakresie ochrony przyrody i</w:t>
      </w:r>
      <w:r w:rsidR="00E839DE" w:rsidRPr="000113CA">
        <w:rPr>
          <w:color w:val="auto"/>
          <w:szCs w:val="24"/>
          <w:u w:val="single"/>
        </w:rPr>
        <w:t> </w:t>
      </w:r>
      <w:r w:rsidRPr="000113CA">
        <w:rPr>
          <w:color w:val="auto"/>
          <w:szCs w:val="24"/>
          <w:u w:val="single"/>
        </w:rPr>
        <w:t>różnorodności biologicznej.</w:t>
      </w:r>
    </w:p>
    <w:p w14:paraId="6AC1A34A" w14:textId="0995C3D1" w:rsidR="00245868" w:rsidRPr="000113CA" w:rsidRDefault="00EE1044" w:rsidP="00C26F22">
      <w:pPr>
        <w:pStyle w:val="Akapitzlist"/>
        <w:numPr>
          <w:ilvl w:val="0"/>
          <w:numId w:val="35"/>
        </w:numPr>
        <w:spacing w:before="240"/>
        <w:ind w:left="284" w:right="0" w:hanging="284"/>
        <w:rPr>
          <w:color w:val="auto"/>
        </w:rPr>
      </w:pPr>
      <w:r w:rsidRPr="000113CA">
        <w:rPr>
          <w:color w:val="auto"/>
        </w:rPr>
        <w:t>D</w:t>
      </w:r>
      <w:r w:rsidR="00245868" w:rsidRPr="000113CA">
        <w:rPr>
          <w:color w:val="auto"/>
        </w:rPr>
        <w:t>ziałania edukacyjne i informacyjne, ukierunkowane na zwiększenie wiedzy i</w:t>
      </w:r>
      <w:r w:rsidR="00E839DE" w:rsidRPr="000113CA">
        <w:rPr>
          <w:color w:val="auto"/>
        </w:rPr>
        <w:t> </w:t>
      </w:r>
      <w:r w:rsidR="00245868" w:rsidRPr="000113CA">
        <w:rPr>
          <w:color w:val="auto"/>
        </w:rPr>
        <w:t>świadomości społeczeństwa na temat celów i zasad ochrony przyrody i</w:t>
      </w:r>
      <w:r w:rsidR="00E839DE" w:rsidRPr="000113CA">
        <w:rPr>
          <w:color w:val="auto"/>
        </w:rPr>
        <w:t> </w:t>
      </w:r>
      <w:r w:rsidR="00245868" w:rsidRPr="000113CA">
        <w:rPr>
          <w:color w:val="auto"/>
        </w:rPr>
        <w:t xml:space="preserve">różnorodności biologicznej, wpływ zanieczyszczeń na stan środowiska i zdrowie </w:t>
      </w:r>
      <w:r w:rsidR="00245868" w:rsidRPr="000113CA">
        <w:rPr>
          <w:color w:val="auto"/>
        </w:rPr>
        <w:lastRenderedPageBreak/>
        <w:t>ludzi jak również korzyści płynących z dobrze zachowanego środowiska naturalnego</w:t>
      </w:r>
      <w:r w:rsidR="00C26F22" w:rsidRPr="000113CA">
        <w:rPr>
          <w:color w:val="auto"/>
        </w:rPr>
        <w:t xml:space="preserve"> np.:</w:t>
      </w:r>
    </w:p>
    <w:p w14:paraId="1B07E3AB" w14:textId="1503C883" w:rsidR="00EE1044" w:rsidRPr="000113CA" w:rsidRDefault="00EE1044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</w:rPr>
        <w:t>stworzenie</w:t>
      </w:r>
      <w:r w:rsidRPr="000113CA">
        <w:rPr>
          <w:color w:val="auto"/>
          <w:szCs w:val="24"/>
        </w:rPr>
        <w:t xml:space="preserve"> programów/zadań/działań przyczyniających się do wzrostu wiedzy z</w:t>
      </w:r>
      <w:r w:rsidR="00E839DE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>zakresu ochrony środowiska, kształtujących postawy, zachowania proekologiczne tj. kampanie informacyjno-edukacyjne, zajęcia, warsztaty zwiększające świadomość ekologiczną mieszkańców regionu lub inne działania związane z działalnością edukacyjno-informacyjną społeczeństwa itp.;</w:t>
      </w:r>
    </w:p>
    <w:p w14:paraId="39A81057" w14:textId="57BAB599" w:rsidR="00EE1044" w:rsidRPr="000113CA" w:rsidRDefault="00EE1044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organizacja zajęć dydaktycznych, edukacyjnych (stacjonarnych i terenowych), prezentacje multimedialne, projekcje filmowe itp.;</w:t>
      </w:r>
    </w:p>
    <w:p w14:paraId="45209A0D" w14:textId="43AD96A0" w:rsidR="00EE1044" w:rsidRPr="000113CA" w:rsidRDefault="00EE1044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publikacje, filmy i przeźrocza, wydawnictwa, gry i zabawy o tematyce związanej z</w:t>
      </w:r>
      <w:r w:rsidR="00E839DE" w:rsidRPr="000113CA">
        <w:rPr>
          <w:color w:val="auto"/>
        </w:rPr>
        <w:t> </w:t>
      </w:r>
      <w:r w:rsidRPr="000113CA">
        <w:rPr>
          <w:color w:val="auto"/>
        </w:rPr>
        <w:t>edukacją ekologiczną;</w:t>
      </w:r>
    </w:p>
    <w:p w14:paraId="17A236E4" w14:textId="00A87CE8" w:rsidR="00EE1044" w:rsidRPr="000113CA" w:rsidRDefault="00EE1044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praktyczne (badawcze) zajęcia np. spacery, piesze wycieczki, zajęcia w terenie, doświadczenia i eksperymenty;</w:t>
      </w:r>
    </w:p>
    <w:p w14:paraId="64D3BFCB" w14:textId="77777777" w:rsidR="0084237A" w:rsidRPr="000113CA" w:rsidRDefault="0084237A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tablice edukacyjne (w tym z kodem QR), gry edukacyjne, totemy edukacyjne, totemy interaktywno-edukacyjne –  związane z typem projektu;</w:t>
      </w:r>
    </w:p>
    <w:p w14:paraId="40BCC2F6" w14:textId="24773C32" w:rsidR="00F25D8D" w:rsidRPr="000113CA" w:rsidRDefault="00F25D8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dostosowania dla osób z niepełnosprawnością ruchową oraz sensoryczną np.:</w:t>
      </w:r>
      <w:r w:rsidR="00E839DE" w:rsidRPr="000113CA">
        <w:rPr>
          <w:color w:val="auto"/>
        </w:rPr>
        <w:t> </w:t>
      </w:r>
      <w:r w:rsidRPr="000113CA">
        <w:rPr>
          <w:color w:val="auto"/>
        </w:rPr>
        <w:t>platforma, najazd/zjazd, tablice edukacyjne dla osób niewidomych;</w:t>
      </w:r>
    </w:p>
    <w:p w14:paraId="6BFF88EB" w14:textId="77777777" w:rsidR="00F25D8D" w:rsidRPr="000113CA" w:rsidRDefault="00F25D8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konkursy z zakresu edukacji ekologicznej wraz z nagrodami. Nagrody muszą być adekwatne do wieku uczestników i związane z tematyką projektu;</w:t>
      </w:r>
    </w:p>
    <w:p w14:paraId="45348653" w14:textId="1FA38A19" w:rsidR="00F25D8D" w:rsidRPr="000113CA" w:rsidRDefault="00F25D8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w przypadku zajęć edukacyjnych stacjonarnych trwających powyżej 6 godzin oraz</w:t>
      </w:r>
      <w:r w:rsidR="00E839DE" w:rsidRPr="000113CA">
        <w:rPr>
          <w:color w:val="auto"/>
        </w:rPr>
        <w:t> </w:t>
      </w:r>
      <w:r w:rsidRPr="000113CA">
        <w:rPr>
          <w:color w:val="auto"/>
        </w:rPr>
        <w:t>jednorazowo w przypadku wydarzenia związanego z ogłoszeniem wyników w konkursie ekologicznym, wraz z wręczeniem nagród, trwającego powyżej 4</w:t>
      </w:r>
      <w:r w:rsidR="00E839DE" w:rsidRPr="000113CA">
        <w:rPr>
          <w:color w:val="auto"/>
        </w:rPr>
        <w:t> </w:t>
      </w:r>
      <w:r w:rsidRPr="000113CA">
        <w:rPr>
          <w:color w:val="auto"/>
        </w:rPr>
        <w:t>godzin, istnieje możliwość zakupu poczęstunku dla uczestników, np.:</w:t>
      </w:r>
      <w:r w:rsidR="002134CA" w:rsidRPr="000113CA">
        <w:rPr>
          <w:color w:val="auto"/>
        </w:rPr>
        <w:t> </w:t>
      </w:r>
      <w:r w:rsidRPr="000113CA">
        <w:rPr>
          <w:color w:val="auto"/>
        </w:rPr>
        <w:t>kawa, herbata, woda, ciastka, słone i słodkie przekąski, catering „zimna płyta”;</w:t>
      </w:r>
    </w:p>
    <w:p w14:paraId="0B11E7CF" w14:textId="79CB15D1" w:rsidR="00F25D8D" w:rsidRPr="000113CA" w:rsidRDefault="00F25D8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</w:rPr>
      </w:pPr>
      <w:r w:rsidRPr="000113CA">
        <w:rPr>
          <w:color w:val="auto"/>
        </w:rPr>
        <w:t>w przypadku zajęć edukacyjnych w terenie trwających powyżej 6 godzin istnieje możliwość zakupu poczęstunku dla uczestników, np.: napój w butelce od 0,3l do</w:t>
      </w:r>
      <w:r w:rsidR="00E839DE" w:rsidRPr="000113CA">
        <w:rPr>
          <w:color w:val="auto"/>
        </w:rPr>
        <w:t> </w:t>
      </w:r>
      <w:r w:rsidRPr="000113CA">
        <w:rPr>
          <w:color w:val="auto"/>
        </w:rPr>
        <w:t xml:space="preserve">0,5l w tym woda (z wyłączeniem </w:t>
      </w:r>
      <w:r w:rsidR="002134CA" w:rsidRPr="000113CA">
        <w:rPr>
          <w:color w:val="auto"/>
        </w:rPr>
        <w:t>napoi</w:t>
      </w:r>
      <w:r w:rsidRPr="000113CA">
        <w:rPr>
          <w:color w:val="auto"/>
        </w:rPr>
        <w:t xml:space="preserve"> w puszkach), catering w formie kanapek, owoce;</w:t>
      </w:r>
    </w:p>
    <w:p w14:paraId="76DF163D" w14:textId="13034660" w:rsidR="00266DD2" w:rsidRPr="000113CA" w:rsidRDefault="009F2790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</w:rPr>
        <w:t>zakup</w:t>
      </w:r>
      <w:r w:rsidRPr="000113CA">
        <w:rPr>
          <w:color w:val="auto"/>
          <w:szCs w:val="24"/>
        </w:rPr>
        <w:t xml:space="preserve">  np.</w:t>
      </w:r>
      <w:r w:rsidR="00266DD2" w:rsidRPr="000113CA">
        <w:rPr>
          <w:color w:val="auto"/>
          <w:szCs w:val="24"/>
        </w:rPr>
        <w:t xml:space="preserve"> pomocy dydaktycznych, narzędzi edukacyjnych, materiałów doświadczalnych, wyposażenia do eksperymentów, materiałów do zajęć badawczych</w:t>
      </w:r>
      <w:r w:rsidR="00CC164B" w:rsidRPr="000113CA">
        <w:rPr>
          <w:color w:val="auto"/>
          <w:szCs w:val="24"/>
        </w:rPr>
        <w:t>;</w:t>
      </w:r>
    </w:p>
    <w:p w14:paraId="48F6B8E1" w14:textId="158A6E03" w:rsidR="00F25D8D" w:rsidRPr="000113CA" w:rsidRDefault="00F25D8D" w:rsidP="002134CA">
      <w:pPr>
        <w:pStyle w:val="Akapitzlist"/>
        <w:numPr>
          <w:ilvl w:val="0"/>
          <w:numId w:val="32"/>
        </w:numPr>
        <w:spacing w:line="276" w:lineRule="auto"/>
        <w:ind w:right="0"/>
        <w:rPr>
          <w:color w:val="auto"/>
          <w:szCs w:val="24"/>
        </w:rPr>
      </w:pPr>
      <w:r w:rsidRPr="000113CA">
        <w:rPr>
          <w:color w:val="auto"/>
          <w:szCs w:val="24"/>
        </w:rPr>
        <w:t>inne działania zwiększające świadomość społeczną w zakresie edukacji ekologicznej</w:t>
      </w:r>
      <w:r w:rsidR="00CC164B" w:rsidRPr="000113CA">
        <w:rPr>
          <w:color w:val="auto"/>
          <w:szCs w:val="24"/>
        </w:rPr>
        <w:t>.</w:t>
      </w:r>
    </w:p>
    <w:p w14:paraId="3C1F70EC" w14:textId="46F109F4" w:rsidR="00F25D8D" w:rsidRPr="000113CA" w:rsidRDefault="00CC164B" w:rsidP="00DA33AE">
      <w:pPr>
        <w:pStyle w:val="Akapitzlist"/>
        <w:numPr>
          <w:ilvl w:val="0"/>
          <w:numId w:val="35"/>
        </w:numPr>
        <w:spacing w:before="240"/>
        <w:ind w:left="284" w:right="0" w:hanging="284"/>
        <w:rPr>
          <w:color w:val="auto"/>
          <w:szCs w:val="24"/>
        </w:rPr>
      </w:pPr>
      <w:r w:rsidRPr="000113CA">
        <w:rPr>
          <w:color w:val="auto"/>
          <w:szCs w:val="24"/>
        </w:rPr>
        <w:t>W</w:t>
      </w:r>
      <w:r w:rsidR="00F25D8D" w:rsidRPr="000113CA">
        <w:rPr>
          <w:color w:val="auto"/>
          <w:szCs w:val="24"/>
        </w:rPr>
        <w:t>ydatki na działania informacyjne i informacyjno-promocyjne, bezpośrednio związane z realizacją projektu maksymalnie 30 tys. PLN wydatków kwalifikowalnych projektu (przykładowe działania: spotkania z lokalną społecznością, materiały w</w:t>
      </w:r>
      <w:r w:rsidR="00E839DE" w:rsidRPr="000113CA">
        <w:rPr>
          <w:color w:val="auto"/>
          <w:szCs w:val="24"/>
        </w:rPr>
        <w:t> </w:t>
      </w:r>
      <w:r w:rsidR="00F25D8D" w:rsidRPr="000113CA">
        <w:rPr>
          <w:color w:val="auto"/>
          <w:szCs w:val="24"/>
        </w:rPr>
        <w:t>wersji elektronicznej, strona internetowa, w tym materiały do pobrania oraz publikacje on-line itd., artykuł w prasie lokalnej lub/i audycja w lokalnym radiu lub/i</w:t>
      </w:r>
      <w:r w:rsidR="00E839DE" w:rsidRPr="000113CA">
        <w:rPr>
          <w:color w:val="auto"/>
          <w:szCs w:val="24"/>
        </w:rPr>
        <w:t> </w:t>
      </w:r>
      <w:r w:rsidR="00F25D8D" w:rsidRPr="000113CA">
        <w:rPr>
          <w:color w:val="auto"/>
          <w:szCs w:val="24"/>
        </w:rPr>
        <w:t>reklama w lokalnej telewizji, kampanie w szkołach, przedszkolach, tablice informacyjne, plakaty, naklejki itp.)</w:t>
      </w:r>
      <w:r w:rsidRPr="000113CA">
        <w:rPr>
          <w:color w:val="auto"/>
          <w:szCs w:val="24"/>
        </w:rPr>
        <w:t>.</w:t>
      </w:r>
    </w:p>
    <w:p w14:paraId="1D3BD7C4" w14:textId="3A6CC501" w:rsidR="00F25D8D" w:rsidRPr="000113CA" w:rsidRDefault="00CC164B" w:rsidP="00DA33AE">
      <w:pPr>
        <w:pStyle w:val="Akapitzlist"/>
        <w:numPr>
          <w:ilvl w:val="0"/>
          <w:numId w:val="35"/>
        </w:numPr>
        <w:spacing w:before="240"/>
        <w:ind w:left="284" w:right="0" w:hanging="284"/>
        <w:rPr>
          <w:color w:val="auto"/>
          <w:szCs w:val="24"/>
        </w:rPr>
      </w:pPr>
      <w:r w:rsidRPr="000113CA">
        <w:rPr>
          <w:color w:val="auto"/>
          <w:szCs w:val="24"/>
        </w:rPr>
        <w:lastRenderedPageBreak/>
        <w:t>W</w:t>
      </w:r>
      <w:r w:rsidR="00F25D8D" w:rsidRPr="000113CA">
        <w:rPr>
          <w:color w:val="auto"/>
          <w:szCs w:val="24"/>
        </w:rPr>
        <w:t>ydatki na działania informacyjno-edukacyjne w zakresie edukacji i informacji w</w:t>
      </w:r>
      <w:r w:rsidR="002134CA" w:rsidRPr="000113CA">
        <w:rPr>
          <w:color w:val="auto"/>
          <w:szCs w:val="24"/>
        </w:rPr>
        <w:t> </w:t>
      </w:r>
      <w:r w:rsidR="00F25D8D" w:rsidRPr="000113CA">
        <w:rPr>
          <w:color w:val="auto"/>
          <w:szCs w:val="24"/>
        </w:rPr>
        <w:t>zakresie ochrony przyrody i różnorodności biologicznej, (spotkania z lokalną społecznością, materiały w wersji elektronicznej, strona internetowa, w tym materiały do pobrania oraz publikacje on-line itd., artykuł w prasie lokalnej lub/i audycja w lokalnym radiu lub/i reklama w lokalnej telewizji, kampanie w szkołach, przedszkolach)</w:t>
      </w:r>
      <w:r w:rsidRPr="000113CA">
        <w:rPr>
          <w:color w:val="auto"/>
          <w:szCs w:val="24"/>
        </w:rPr>
        <w:t>.</w:t>
      </w:r>
    </w:p>
    <w:p w14:paraId="1BD13F5D" w14:textId="4341D30E" w:rsidR="00F25D8D" w:rsidRPr="000113CA" w:rsidRDefault="00CC164B" w:rsidP="00DA33AE">
      <w:pPr>
        <w:pStyle w:val="Akapitzlist"/>
        <w:numPr>
          <w:ilvl w:val="0"/>
          <w:numId w:val="35"/>
        </w:numPr>
        <w:spacing w:before="240"/>
        <w:ind w:left="284" w:right="0" w:hanging="284"/>
        <w:rPr>
          <w:color w:val="auto"/>
          <w:szCs w:val="24"/>
        </w:rPr>
      </w:pPr>
      <w:r w:rsidRPr="000113CA">
        <w:rPr>
          <w:color w:val="auto"/>
          <w:szCs w:val="24"/>
        </w:rPr>
        <w:t>P</w:t>
      </w:r>
      <w:r w:rsidR="00F25D8D" w:rsidRPr="000113CA">
        <w:rPr>
          <w:color w:val="auto"/>
          <w:szCs w:val="24"/>
        </w:rPr>
        <w:t>race przygotowawcze w zakresie wskazanym w umowie o dofinansowanie projektu przez IZ FEWL 21-27 oraz w umowie o dofinansowanie projektu realizowanego w trybie „zaprojektuj i wybuduj” tj.: analizy przygotowawcze (techniczne, finansowe, ekonomiczne), przygotowanie projektu budowlanego, złożenie wniosku o wydanie pozwolenia na budowę, przygotowanie oceny oddziaływania na środowisko, dokumentacji architektonicznej i planowania zieleni, przygotowanie studiów wykonalności, biznes planu, dokumentacji przetargowej, usługi doradcze związane z przygotowaniem inwestycji; podjęcie prac przygotowawczych</w:t>
      </w:r>
      <w:r w:rsidRPr="000113CA">
        <w:rPr>
          <w:color w:val="auto"/>
          <w:szCs w:val="24"/>
        </w:rPr>
        <w:t>.</w:t>
      </w:r>
    </w:p>
    <w:p w14:paraId="45789F5D" w14:textId="7CD78111" w:rsidR="00F25D8D" w:rsidRPr="000113CA" w:rsidRDefault="00CC164B" w:rsidP="00F25D8D">
      <w:pPr>
        <w:pStyle w:val="Akapitzlist"/>
        <w:numPr>
          <w:ilvl w:val="0"/>
          <w:numId w:val="35"/>
        </w:numPr>
        <w:ind w:left="284" w:right="0"/>
        <w:rPr>
          <w:color w:val="auto"/>
          <w:szCs w:val="24"/>
        </w:rPr>
      </w:pPr>
      <w:r w:rsidRPr="000113CA">
        <w:rPr>
          <w:color w:val="auto"/>
          <w:szCs w:val="24"/>
        </w:rPr>
        <w:t>Z</w:t>
      </w:r>
      <w:r w:rsidR="00F25D8D" w:rsidRPr="000113CA">
        <w:rPr>
          <w:color w:val="auto"/>
          <w:szCs w:val="24"/>
        </w:rPr>
        <w:t>godnie z Podrozdziałem 3.5. Podatek od towarów i usług (VAT) Wytycznych dotyczących kwalifikowalności wydatków na lata 2021-2027 Ministra Funduszy i Polityki Regionalnej, wydatki poniesione na podatek od towarów i usług mogą zostać uznane za kwalifikowalne:</w:t>
      </w:r>
    </w:p>
    <w:p w14:paraId="3F867EB0" w14:textId="490862DE" w:rsidR="00F25D8D" w:rsidRPr="000113CA" w:rsidRDefault="00F25D8D" w:rsidP="00DA33AE">
      <w:pPr>
        <w:pStyle w:val="Akapitzlist"/>
        <w:numPr>
          <w:ilvl w:val="0"/>
          <w:numId w:val="17"/>
        </w:numPr>
        <w:ind w:left="426"/>
        <w:rPr>
          <w:color w:val="auto"/>
          <w:szCs w:val="24"/>
        </w:rPr>
      </w:pPr>
      <w:r w:rsidRPr="000113CA">
        <w:rPr>
          <w:color w:val="auto"/>
          <w:szCs w:val="24"/>
        </w:rPr>
        <w:t>w projekcie, którego łączny koszt</w:t>
      </w:r>
      <w:r w:rsidRPr="000113CA">
        <w:rPr>
          <w:color w:val="auto"/>
          <w:szCs w:val="24"/>
        </w:rPr>
        <w:footnoteReference w:id="2"/>
      </w:r>
      <w:r w:rsidRPr="000113CA">
        <w:rPr>
          <w:color w:val="auto"/>
          <w:szCs w:val="24"/>
        </w:rPr>
        <w:t xml:space="preserve"> jest mniejszy niż 5 mln EUR (włączając VAT), z</w:t>
      </w:r>
      <w:r w:rsidR="002134CA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>wyłączeniem projektów objętych pomocą publiczną;</w:t>
      </w:r>
    </w:p>
    <w:p w14:paraId="150EA678" w14:textId="564C427F" w:rsidR="00F25D8D" w:rsidRPr="000113CA" w:rsidRDefault="00F25D8D" w:rsidP="00DA33AE">
      <w:pPr>
        <w:pStyle w:val="Akapitzlist"/>
        <w:numPr>
          <w:ilvl w:val="0"/>
          <w:numId w:val="17"/>
        </w:numPr>
        <w:ind w:left="42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w ramach projektu, którego łączny koszt wynosi co najmniej 5 mln EUR (włączając VAT), biorąc pod uwagę, iż prawo do obniżenia podatku VAT należnego o podatek VAT naliczony może powstać zarówno w okresie realizacji projektu, jak i po jego zakończeniu, </w:t>
      </w:r>
      <w:r w:rsidR="000113CA" w:rsidRPr="000113CA">
        <w:rPr>
          <w:color w:val="auto"/>
          <w:szCs w:val="24"/>
        </w:rPr>
        <w:t xml:space="preserve">IZ będąca stroną umowy wymaga, aby beneficjenci, którzy zaliczą podatek VAT do wydatków kwalifikowalnych, dołączyli do wniosku o dofinansowanie </w:t>
      </w:r>
      <w:r w:rsidRPr="000113CA">
        <w:rPr>
          <w:color w:val="auto"/>
          <w:szCs w:val="24"/>
        </w:rPr>
        <w:t>projektu „Oświadczenie o kwalifikowalności VAT”. Oświadczenie składa się z dwóch integralnych części. W ramach pierwszej części beneficjent oświadcza, iż w chwili składania wniosku o dofinansowanie projektu nie ma prawnej możliwości odzyskania podatku VAT, którego wysokość została określona w odpowiednim punkcie wniosku o dofinansowanie projektu (fakt ten decyduje o</w:t>
      </w:r>
      <w:r w:rsidR="002134CA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 xml:space="preserve">kwalifikowalności </w:t>
      </w:r>
      <w:r w:rsidRPr="000113CA">
        <w:rPr>
          <w:rFonts w:ascii="ArialMT" w:eastAsiaTheme="minorEastAsia" w:hAnsi="ArialMT" w:cs="ArialMT"/>
          <w:color w:val="auto"/>
          <w:kern w:val="0"/>
          <w:szCs w:val="24"/>
        </w:rPr>
        <w:t>VAT). Natomiast w części drugiej beneficjent zobowiązuje się do zwrotu zrefundowanej ze środków unijnych części VAT, jeżeli zaistnieją przesłanki umożliwiające odzyskanie tego podatku. „Oświadczenie o</w:t>
      </w:r>
      <w:r w:rsidR="002134CA" w:rsidRPr="000113CA">
        <w:rPr>
          <w:rFonts w:ascii="ArialMT" w:eastAsiaTheme="minorEastAsia" w:hAnsi="ArialMT" w:cs="ArialMT"/>
          <w:color w:val="auto"/>
          <w:kern w:val="0"/>
          <w:szCs w:val="24"/>
        </w:rPr>
        <w:t> </w:t>
      </w:r>
      <w:r w:rsidRPr="000113CA">
        <w:rPr>
          <w:rFonts w:ascii="ArialMT" w:eastAsiaTheme="minorEastAsia" w:hAnsi="ArialMT" w:cs="ArialMT"/>
          <w:color w:val="auto"/>
          <w:kern w:val="0"/>
          <w:szCs w:val="24"/>
        </w:rPr>
        <w:t>kwalifikowalności VAT” podpisane przez beneficjenta stanowi załącznik do</w:t>
      </w:r>
      <w:r w:rsidR="002134CA" w:rsidRPr="000113CA">
        <w:rPr>
          <w:rFonts w:ascii="ArialMT" w:eastAsiaTheme="minorEastAsia" w:hAnsi="ArialMT" w:cs="ArialMT"/>
          <w:color w:val="auto"/>
          <w:kern w:val="0"/>
          <w:szCs w:val="24"/>
        </w:rPr>
        <w:t> </w:t>
      </w:r>
      <w:r w:rsidRPr="000113CA">
        <w:rPr>
          <w:rFonts w:ascii="ArialMT" w:eastAsiaTheme="minorEastAsia" w:hAnsi="ArialMT" w:cs="ArialMT"/>
          <w:color w:val="auto"/>
          <w:kern w:val="0"/>
          <w:szCs w:val="24"/>
        </w:rPr>
        <w:t>zawieranej z beneficjentem umowy o dofinansowanie projektu.</w:t>
      </w:r>
    </w:p>
    <w:p w14:paraId="49D41953" w14:textId="77777777" w:rsidR="00CC164B" w:rsidRPr="000113CA" w:rsidRDefault="00CC164B" w:rsidP="00F25D8D">
      <w:pPr>
        <w:spacing w:before="240" w:line="276" w:lineRule="auto"/>
        <w:ind w:left="0" w:right="0" w:firstLine="0"/>
        <w:rPr>
          <w:b/>
          <w:color w:val="auto"/>
          <w:szCs w:val="24"/>
          <w:u w:val="single" w:color="000000"/>
        </w:rPr>
      </w:pPr>
    </w:p>
    <w:p w14:paraId="67241FBD" w14:textId="77777777" w:rsidR="00CC164B" w:rsidRPr="000113CA" w:rsidRDefault="00CC164B" w:rsidP="00F25D8D">
      <w:pPr>
        <w:spacing w:before="240" w:line="276" w:lineRule="auto"/>
        <w:ind w:left="0" w:right="0" w:firstLine="0"/>
        <w:rPr>
          <w:b/>
          <w:color w:val="auto"/>
          <w:szCs w:val="24"/>
          <w:u w:val="single" w:color="000000"/>
        </w:rPr>
      </w:pPr>
    </w:p>
    <w:p w14:paraId="3639AF6A" w14:textId="68DC5134" w:rsidR="00347A8A" w:rsidRPr="000113CA" w:rsidRDefault="00347A8A" w:rsidP="00F25D8D">
      <w:pPr>
        <w:spacing w:before="240" w:line="276" w:lineRule="auto"/>
        <w:ind w:left="0" w:right="0" w:firstLine="0"/>
        <w:rPr>
          <w:color w:val="auto"/>
          <w:szCs w:val="24"/>
        </w:rPr>
      </w:pPr>
      <w:r w:rsidRPr="000113CA">
        <w:rPr>
          <w:b/>
          <w:color w:val="auto"/>
          <w:szCs w:val="24"/>
          <w:u w:val="single" w:color="000000"/>
        </w:rPr>
        <w:lastRenderedPageBreak/>
        <w:t xml:space="preserve">Koszty pośrednie – </w:t>
      </w:r>
      <w:r w:rsidRPr="000113CA">
        <w:rPr>
          <w:color w:val="auto"/>
          <w:szCs w:val="24"/>
        </w:rPr>
        <w:t xml:space="preserve">koszty niezbędne do realizacji projektu, których nie można bezpośrednio przypisać do głównego celu projektu, w szczególności koszty administracyjne związane z obsługą projektu, która nie wymaga podejmowania merytorycznych działań zmierzających do osiągnięcia celu projektu. Kosztami pośrednimi w szczególności są: </w:t>
      </w:r>
    </w:p>
    <w:p w14:paraId="5E0B39FE" w14:textId="77777777" w:rsidR="00347A8A" w:rsidRPr="000113CA" w:rsidRDefault="00347A8A" w:rsidP="00CC164B">
      <w:pPr>
        <w:numPr>
          <w:ilvl w:val="1"/>
          <w:numId w:val="2"/>
        </w:numPr>
        <w:spacing w:before="240"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koordynatora projektu oraz innego personelu zaangażowanego w  zarządzanie, rozliczanie, monitorowanie projektu lub prowadzenie innych działań administracyjnych  w projekcie, w szczególności koszty wynagrodzenia tych osób, ich delegacji służbowych  i szkoleń, </w:t>
      </w:r>
    </w:p>
    <w:p w14:paraId="6FBC9FDC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zarządu (wynagrodzenia osób uprawnionych do reprezentowania jednostki, których zakresy czynności nie są przypisane wyłącznie do projektu, np. kierownika jednostki), </w:t>
      </w:r>
    </w:p>
    <w:p w14:paraId="324DABEA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personelu obsługowego (obsługa kadrowa, finansowa, administracyjna, sekretariat, kancelaria, obsługa prawna, w tym dotycząca zamówień) na potrzeby funkcjonowania jednostki, </w:t>
      </w:r>
    </w:p>
    <w:p w14:paraId="68C9068C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obsługi księgowej (wynagrodzenia osób księgujących wydatki w  projekcie, koszty związane ze zleceniem prowadzenia obsługi księgowej projektu biuru rachunkowemu), </w:t>
      </w:r>
    </w:p>
    <w:p w14:paraId="030D2133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utrzymania powierzchni biurowych (czynsz, najem, opłaty administracyjne), </w:t>
      </w:r>
    </w:p>
    <w:p w14:paraId="29BF4A11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wydatki związane z otworzeniem lub prowadzeniem wyodrębnionego na rzecz projektu subkonta na rachunku płatniczym lub odrębnego rachunku płatniczego, </w:t>
      </w:r>
    </w:p>
    <w:p w14:paraId="2A892BEC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odpisy, amortyzacje, koszty najmu lub zakupu aktywów (środków trwałych i  wartości niematerialnych i prawnych) używanych na potrzeby osób, o których mowa w pkt. 1 - 4, </w:t>
      </w:r>
    </w:p>
    <w:p w14:paraId="6B66BA9F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opłaty za energię elektryczną, cieplną, gazową i wodę, opłaty przesyłowe, opłaty  za odprowadzanie ścieków, opłaty za wywóz odpadów komunalnych, </w:t>
      </w:r>
    </w:p>
    <w:p w14:paraId="5F126750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usług pocztowych, telefonicznych, internetowych, kurierskich, </w:t>
      </w:r>
    </w:p>
    <w:p w14:paraId="60124426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usług powielania dokumentów, </w:t>
      </w:r>
    </w:p>
    <w:p w14:paraId="37CD48B6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materiałów biurowych i artykułów piśmienniczych, </w:t>
      </w:r>
    </w:p>
    <w:p w14:paraId="596B3EF7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ochrony, </w:t>
      </w:r>
    </w:p>
    <w:p w14:paraId="025B6333" w14:textId="77777777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 xml:space="preserve">koszty sprzątania pomieszczeń, w tym środków czystości, dezynsekcji, dezynfekcji, deratyzacji tych pomieszczeń, </w:t>
      </w:r>
    </w:p>
    <w:p w14:paraId="06F94A5D" w14:textId="1C95E470" w:rsidR="00347A8A" w:rsidRPr="000113CA" w:rsidRDefault="00347A8A" w:rsidP="00347A8A">
      <w:pPr>
        <w:numPr>
          <w:ilvl w:val="1"/>
          <w:numId w:val="2"/>
        </w:numPr>
        <w:spacing w:line="276" w:lineRule="auto"/>
        <w:ind w:left="426" w:right="0" w:hanging="406"/>
        <w:rPr>
          <w:color w:val="auto"/>
          <w:szCs w:val="24"/>
        </w:rPr>
      </w:pPr>
      <w:r w:rsidRPr="000113CA">
        <w:rPr>
          <w:color w:val="auto"/>
          <w:szCs w:val="24"/>
        </w:rPr>
        <w:t>opłaty pobierane od dokonywanych transakcji płatniczych (krajowych lub</w:t>
      </w:r>
      <w:r w:rsidR="00CC164B" w:rsidRPr="000113CA">
        <w:rPr>
          <w:color w:val="auto"/>
          <w:szCs w:val="24"/>
        </w:rPr>
        <w:t> </w:t>
      </w:r>
      <w:r w:rsidRPr="000113CA">
        <w:rPr>
          <w:color w:val="auto"/>
          <w:szCs w:val="24"/>
        </w:rPr>
        <w:t xml:space="preserve">zagranicznych). </w:t>
      </w:r>
    </w:p>
    <w:p w14:paraId="135FE685" w14:textId="1084FB46" w:rsidR="00FA257A" w:rsidRPr="000113CA" w:rsidRDefault="00347A8A" w:rsidP="00347A8A">
      <w:pPr>
        <w:spacing w:before="240" w:after="0" w:line="276" w:lineRule="auto"/>
        <w:ind w:left="0" w:right="0" w:firstLine="0"/>
        <w:rPr>
          <w:color w:val="auto"/>
          <w:szCs w:val="24"/>
        </w:rPr>
      </w:pPr>
      <w:bookmarkStart w:id="1" w:name="_Hlk207964623"/>
      <w:r w:rsidRPr="000113CA">
        <w:rPr>
          <w:b/>
          <w:color w:val="auto"/>
          <w:szCs w:val="24"/>
          <w:u w:val="single" w:color="000000"/>
        </w:rPr>
        <w:t>Dla kosztów pośrednich stosuje się Uproszczone metody rozliczania, która</w:t>
      </w:r>
      <w:r w:rsidR="00CC164B" w:rsidRPr="000113CA">
        <w:rPr>
          <w:b/>
          <w:color w:val="auto"/>
          <w:szCs w:val="24"/>
          <w:u w:val="single" w:color="000000"/>
        </w:rPr>
        <w:t> </w:t>
      </w:r>
      <w:r w:rsidRPr="000113CA">
        <w:rPr>
          <w:b/>
          <w:color w:val="auto"/>
          <w:szCs w:val="24"/>
          <w:u w:val="single" w:color="000000"/>
        </w:rPr>
        <w:t xml:space="preserve">wynosi 7% </w:t>
      </w:r>
      <w:r w:rsidRPr="000113CA">
        <w:rPr>
          <w:b/>
          <w:color w:val="auto"/>
          <w:szCs w:val="24"/>
          <w:u w:val="single"/>
        </w:rPr>
        <w:t>stawka ryczałtowa</w:t>
      </w:r>
      <w:r w:rsidRPr="000113CA">
        <w:rPr>
          <w:b/>
          <w:color w:val="auto"/>
          <w:szCs w:val="24"/>
          <w:u w:val="single" w:color="000000"/>
        </w:rPr>
        <w:t xml:space="preserve"> na koszty pośrednie (podstawa wyliczenia: koszty bezpośrednie) [art. 54(a) CPR].</w:t>
      </w:r>
      <w:r w:rsidRPr="000113CA">
        <w:rPr>
          <w:b/>
          <w:color w:val="auto"/>
          <w:szCs w:val="24"/>
        </w:rPr>
        <w:t xml:space="preserve"> </w:t>
      </w:r>
      <w:bookmarkEnd w:id="1"/>
      <w:r w:rsidRPr="000113CA">
        <w:rPr>
          <w:b/>
          <w:color w:val="auto"/>
          <w:szCs w:val="24"/>
        </w:rPr>
        <w:tab/>
      </w:r>
    </w:p>
    <w:p w14:paraId="4EAA5FF6" w14:textId="77777777" w:rsidR="00CC164B" w:rsidRPr="000113CA" w:rsidRDefault="00CC164B" w:rsidP="0077420D">
      <w:pPr>
        <w:tabs>
          <w:tab w:val="left" w:pos="1575"/>
        </w:tabs>
        <w:spacing w:after="55" w:line="276" w:lineRule="auto"/>
        <w:ind w:left="0" w:right="0" w:firstLine="0"/>
        <w:jc w:val="left"/>
        <w:rPr>
          <w:b/>
          <w:color w:val="auto"/>
          <w:szCs w:val="24"/>
        </w:rPr>
      </w:pPr>
    </w:p>
    <w:p w14:paraId="001740D8" w14:textId="77777777" w:rsidR="00C10D58" w:rsidRPr="000113CA" w:rsidRDefault="00B32CCF" w:rsidP="0077420D">
      <w:pPr>
        <w:pStyle w:val="Nagwek1"/>
        <w:tabs>
          <w:tab w:val="left" w:pos="284"/>
        </w:tabs>
        <w:spacing w:line="276" w:lineRule="auto"/>
        <w:ind w:left="142" w:hanging="192"/>
        <w:rPr>
          <w:color w:val="auto"/>
          <w:sz w:val="24"/>
          <w:szCs w:val="24"/>
        </w:rPr>
      </w:pPr>
      <w:r w:rsidRPr="000113CA">
        <w:rPr>
          <w:color w:val="auto"/>
          <w:sz w:val="24"/>
          <w:szCs w:val="24"/>
        </w:rPr>
        <w:lastRenderedPageBreak/>
        <w:t xml:space="preserve">Wydatki niekwalifikowalne </w:t>
      </w:r>
    </w:p>
    <w:p w14:paraId="6B324324" w14:textId="77777777" w:rsidR="008B21A8" w:rsidRPr="000113CA" w:rsidRDefault="008B21A8" w:rsidP="00347A8A">
      <w:pPr>
        <w:spacing w:before="240" w:after="0" w:line="276" w:lineRule="auto"/>
        <w:ind w:left="0" w:right="0" w:firstLine="0"/>
        <w:jc w:val="left"/>
        <w:rPr>
          <w:b/>
          <w:color w:val="auto"/>
          <w:szCs w:val="24"/>
        </w:rPr>
      </w:pPr>
      <w:r w:rsidRPr="000113CA">
        <w:rPr>
          <w:b/>
          <w:color w:val="auto"/>
          <w:szCs w:val="24"/>
        </w:rPr>
        <w:t xml:space="preserve">Do wydatków niekwalifikowalnych mogą zostać zaliczone w szczególności: </w:t>
      </w:r>
    </w:p>
    <w:p w14:paraId="18B006CF" w14:textId="77777777" w:rsidR="0077420D" w:rsidRPr="000113CA" w:rsidRDefault="0077420D" w:rsidP="00655459">
      <w:pPr>
        <w:spacing w:after="0" w:line="276" w:lineRule="auto"/>
        <w:ind w:left="0" w:right="0" w:firstLine="0"/>
        <w:jc w:val="left"/>
        <w:rPr>
          <w:b/>
          <w:color w:val="auto"/>
          <w:szCs w:val="24"/>
        </w:rPr>
      </w:pPr>
    </w:p>
    <w:p w14:paraId="0BF97B0C" w14:textId="77777777" w:rsidR="0077420D" w:rsidRPr="000113CA" w:rsidRDefault="0077420D" w:rsidP="0077420D">
      <w:pPr>
        <w:numPr>
          <w:ilvl w:val="0"/>
          <w:numId w:val="24"/>
        </w:numPr>
        <w:spacing w:after="4" w:line="269" w:lineRule="auto"/>
        <w:ind w:right="158" w:hanging="425"/>
        <w:rPr>
          <w:color w:val="auto"/>
        </w:rPr>
      </w:pPr>
      <w:r w:rsidRPr="000113CA">
        <w:rPr>
          <w:color w:val="auto"/>
        </w:rPr>
        <w:t xml:space="preserve">wydatki wskazane w art. 64 rozporządzenia ogólnego, art. 7 ust. 1 i 5 rozporządzenia EFRR i FS, art. 16 ust. 1 rozporządzenia EFS+, art. 9 rozporządzenia FST; </w:t>
      </w:r>
    </w:p>
    <w:p w14:paraId="7CF22CA9" w14:textId="77777777" w:rsidR="0077420D" w:rsidRPr="000113CA" w:rsidRDefault="0077420D" w:rsidP="0077420D">
      <w:pPr>
        <w:numPr>
          <w:ilvl w:val="0"/>
          <w:numId w:val="24"/>
        </w:numPr>
        <w:spacing w:after="4" w:line="269" w:lineRule="auto"/>
        <w:ind w:right="158" w:hanging="425"/>
        <w:rPr>
          <w:color w:val="auto"/>
        </w:rPr>
      </w:pPr>
      <w:r w:rsidRPr="000113CA">
        <w:rPr>
          <w:color w:val="auto"/>
        </w:rPr>
        <w:t>wydatki ujęte w podrozdziale 2.3. Wydatki niekwalifikowalne Wytycznych Ministra Funduszy i Polityki Regionalnej dotyczących kwalifikowalności wydatków na lata 2021-2027;</w:t>
      </w:r>
    </w:p>
    <w:p w14:paraId="71A83D29" w14:textId="7367A80E" w:rsidR="0077420D" w:rsidRPr="000113CA" w:rsidRDefault="0077420D" w:rsidP="0077420D">
      <w:pPr>
        <w:numPr>
          <w:ilvl w:val="0"/>
          <w:numId w:val="24"/>
        </w:numPr>
        <w:spacing w:after="4" w:line="269" w:lineRule="auto"/>
        <w:ind w:right="158" w:hanging="425"/>
        <w:rPr>
          <w:color w:val="auto"/>
        </w:rPr>
      </w:pPr>
      <w:r w:rsidRPr="000113CA">
        <w:rPr>
          <w:color w:val="auto"/>
        </w:rPr>
        <w:t>inwestycje, które nie przyczyniają się do ochrony, odnowy oraz zrównoważonego użytkowania obszarów chronionych, takie jak np. parkingi czy drogi dojazdowe</w:t>
      </w:r>
      <w:r w:rsidR="00AA34D7" w:rsidRPr="000113CA">
        <w:rPr>
          <w:color w:val="auto"/>
        </w:rPr>
        <w:t xml:space="preserve"> </w:t>
      </w:r>
      <w:r w:rsidRPr="000113CA">
        <w:rPr>
          <w:color w:val="auto"/>
        </w:rPr>
        <w:t>nie będą kwalifikowalne;</w:t>
      </w:r>
    </w:p>
    <w:p w14:paraId="16B58979" w14:textId="77777777" w:rsidR="0077420D" w:rsidRPr="000113CA" w:rsidRDefault="0077420D" w:rsidP="0077420D">
      <w:pPr>
        <w:numPr>
          <w:ilvl w:val="0"/>
          <w:numId w:val="24"/>
        </w:numPr>
        <w:spacing w:after="47" w:line="269" w:lineRule="auto"/>
        <w:ind w:right="158" w:hanging="425"/>
        <w:rPr>
          <w:color w:val="auto"/>
        </w:rPr>
      </w:pPr>
      <w:r w:rsidRPr="000113CA">
        <w:rPr>
          <w:color w:val="auto"/>
        </w:rPr>
        <w:t>pozostałe wydatki nie związane z realizacją projektu.</w:t>
      </w:r>
    </w:p>
    <w:p w14:paraId="318D41EE" w14:textId="442A3147" w:rsidR="00C10D58" w:rsidRPr="00A15B82" w:rsidRDefault="00C10D58" w:rsidP="0077420D">
      <w:pPr>
        <w:spacing w:after="583" w:line="259" w:lineRule="auto"/>
        <w:ind w:left="0" w:right="0" w:firstLine="0"/>
        <w:rPr>
          <w:color w:val="auto"/>
          <w:szCs w:val="24"/>
        </w:rPr>
      </w:pPr>
    </w:p>
    <w:sectPr w:rsidR="00C10D58" w:rsidRPr="00A15B82">
      <w:footerReference w:type="even" r:id="rId8"/>
      <w:footerReference w:type="default" r:id="rId9"/>
      <w:footerReference w:type="first" r:id="rId10"/>
      <w:footnotePr>
        <w:numRestart w:val="eachPage"/>
      </w:footnotePr>
      <w:pgSz w:w="11900" w:h="16840"/>
      <w:pgMar w:top="1417" w:right="1407" w:bottom="2069" w:left="1416" w:header="708" w:footer="6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9DABA" w14:textId="77777777" w:rsidR="00B963BB" w:rsidRDefault="00B963BB">
      <w:pPr>
        <w:spacing w:after="0" w:line="240" w:lineRule="auto"/>
      </w:pPr>
      <w:r>
        <w:separator/>
      </w:r>
    </w:p>
  </w:endnote>
  <w:endnote w:type="continuationSeparator" w:id="0">
    <w:p w14:paraId="7A216617" w14:textId="77777777" w:rsidR="00B963BB" w:rsidRDefault="00B9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8E2D" w14:textId="77777777" w:rsidR="00C10D58" w:rsidRDefault="00B32CCF">
    <w:pPr>
      <w:spacing w:after="878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38235D4" w14:textId="77777777" w:rsidR="00C10D58" w:rsidRDefault="00B32CCF">
    <w:pPr>
      <w:spacing w:after="0" w:line="259" w:lineRule="auto"/>
      <w:ind w:left="0" w:right="-4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D2B6D66" wp14:editId="6610D54B">
          <wp:simplePos x="0" y="0"/>
          <wp:positionH relativeFrom="page">
            <wp:posOffset>910336</wp:posOffset>
          </wp:positionH>
          <wp:positionV relativeFrom="page">
            <wp:posOffset>9543288</wp:posOffset>
          </wp:positionV>
          <wp:extent cx="5745481" cy="697992"/>
          <wp:effectExtent l="0" t="0" r="0" b="0"/>
          <wp:wrapSquare wrapText="bothSides"/>
          <wp:docPr id="3368" name="Picture 33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68" name="Picture 336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1" cy="697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E0FB" w14:textId="1A2C1E26" w:rsidR="00C10D58" w:rsidRDefault="009913C9" w:rsidP="009913C9">
    <w:pPr>
      <w:spacing w:after="878" w:line="259" w:lineRule="auto"/>
      <w:ind w:left="0" w:right="5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ED38606" wp14:editId="2550C4C9">
          <wp:simplePos x="0" y="0"/>
          <wp:positionH relativeFrom="margin">
            <wp:align>left</wp:align>
          </wp:positionH>
          <wp:positionV relativeFrom="page">
            <wp:posOffset>9737513</wp:posOffset>
          </wp:positionV>
          <wp:extent cx="5745481" cy="697992"/>
          <wp:effectExtent l="0" t="0" r="7620" b="6985"/>
          <wp:wrapSquare wrapText="bothSides"/>
          <wp:docPr id="1216637936" name="Picture 33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68" name="Picture 336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1" cy="697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32CCF">
      <w:fldChar w:fldCharType="begin"/>
    </w:r>
    <w:r w:rsidR="00B32CCF">
      <w:instrText xml:space="preserve"> PAGE   \* MERGEFORMAT </w:instrText>
    </w:r>
    <w:r w:rsidR="00B32CCF">
      <w:fldChar w:fldCharType="separate"/>
    </w:r>
    <w:r w:rsidR="0063283B" w:rsidRPr="0063283B">
      <w:rPr>
        <w:noProof/>
        <w:sz w:val="22"/>
      </w:rPr>
      <w:t>4</w:t>
    </w:r>
    <w:r w:rsidR="00B32CCF">
      <w:rPr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7C778" w14:textId="77777777" w:rsidR="00C10D58" w:rsidRDefault="00B32CCF">
    <w:pPr>
      <w:spacing w:after="878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14C34F6" w14:textId="77777777" w:rsidR="00C10D58" w:rsidRDefault="00B32CCF">
    <w:pPr>
      <w:spacing w:after="0" w:line="259" w:lineRule="auto"/>
      <w:ind w:left="0" w:right="-4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F1903CF" wp14:editId="5DB409BE">
          <wp:simplePos x="0" y="0"/>
          <wp:positionH relativeFrom="page">
            <wp:posOffset>910336</wp:posOffset>
          </wp:positionH>
          <wp:positionV relativeFrom="page">
            <wp:posOffset>9543288</wp:posOffset>
          </wp:positionV>
          <wp:extent cx="5745481" cy="697992"/>
          <wp:effectExtent l="0" t="0" r="0" b="0"/>
          <wp:wrapSquare wrapText="bothSides"/>
          <wp:docPr id="403913746" name="Picture 33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68" name="Picture 336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1" cy="697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A0A1B" w14:textId="77777777" w:rsidR="00B963BB" w:rsidRDefault="00B963BB">
      <w:pPr>
        <w:spacing w:after="0" w:line="261" w:lineRule="auto"/>
        <w:ind w:left="0" w:right="0" w:firstLine="0"/>
      </w:pPr>
      <w:r>
        <w:separator/>
      </w:r>
    </w:p>
  </w:footnote>
  <w:footnote w:type="continuationSeparator" w:id="0">
    <w:p w14:paraId="46530BB8" w14:textId="77777777" w:rsidR="00B963BB" w:rsidRDefault="00B963BB">
      <w:pPr>
        <w:spacing w:after="0" w:line="261" w:lineRule="auto"/>
        <w:ind w:left="0" w:right="0" w:firstLine="0"/>
      </w:pPr>
      <w:r>
        <w:continuationSeparator/>
      </w:r>
    </w:p>
  </w:footnote>
  <w:footnote w:id="1">
    <w:p w14:paraId="75E0A293" w14:textId="77777777" w:rsidR="00595232" w:rsidRDefault="00595232" w:rsidP="00595232">
      <w:pPr>
        <w:pStyle w:val="Tekstprzypisudolnego"/>
      </w:pPr>
      <w:r>
        <w:rPr>
          <w:rStyle w:val="Odwoanieprzypisudolnego"/>
        </w:rPr>
        <w:footnoteRef/>
      </w:r>
      <w:r>
        <w:t xml:space="preserve"> Łączny koszt projektu należy rozumieć jako całkowity koszt projektu obejmujący koszty kwalifikowalne i niekwalifikowalne.</w:t>
      </w:r>
    </w:p>
  </w:footnote>
  <w:footnote w:id="2">
    <w:p w14:paraId="788226D5" w14:textId="77777777" w:rsidR="00F25D8D" w:rsidRDefault="00F25D8D" w:rsidP="00F25D8D">
      <w:pPr>
        <w:pStyle w:val="Tekstprzypisudolnego"/>
      </w:pPr>
      <w:r>
        <w:rPr>
          <w:rStyle w:val="Odwoanieprzypisudolnego"/>
        </w:rPr>
        <w:footnoteRef/>
      </w:r>
      <w:r>
        <w:t xml:space="preserve"> Łączny koszt projektu należy rozumieć jako całkowity koszt projektu obejmujący koszty kwalifikowalne i niekwalifikowalne.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60A"/>
    <w:multiLevelType w:val="hybridMultilevel"/>
    <w:tmpl w:val="5A0CE5F0"/>
    <w:lvl w:ilvl="0" w:tplc="AB2A0290">
      <w:start w:val="1"/>
      <w:numFmt w:val="upperRoman"/>
      <w:pStyle w:val="Nagwek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53E8F0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7ED29A9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4426C0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8A767C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7A80F6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D39A65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849A96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80DC012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75BE0"/>
    <w:multiLevelType w:val="hybridMultilevel"/>
    <w:tmpl w:val="D674D8CE"/>
    <w:lvl w:ilvl="0" w:tplc="693EE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01B1C"/>
    <w:multiLevelType w:val="hybridMultilevel"/>
    <w:tmpl w:val="5F8A8C3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1A2A7FD6"/>
    <w:multiLevelType w:val="hybridMultilevel"/>
    <w:tmpl w:val="F092BF88"/>
    <w:lvl w:ilvl="0" w:tplc="69987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052AA"/>
    <w:multiLevelType w:val="hybridMultilevel"/>
    <w:tmpl w:val="FDFEC732"/>
    <w:lvl w:ilvl="0" w:tplc="693EE8D6">
      <w:start w:val="1"/>
      <w:numFmt w:val="bullet"/>
      <w:lvlText w:val=""/>
      <w:lvlJc w:val="left"/>
      <w:pPr>
        <w:ind w:left="10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 w15:restartNumberingAfterBreak="0">
    <w:nsid w:val="1D6F5B98"/>
    <w:multiLevelType w:val="multilevel"/>
    <w:tmpl w:val="2E28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85578"/>
    <w:multiLevelType w:val="hybridMultilevel"/>
    <w:tmpl w:val="4BEAAF72"/>
    <w:lvl w:ilvl="0" w:tplc="693EE8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69677E"/>
    <w:multiLevelType w:val="hybridMultilevel"/>
    <w:tmpl w:val="0F1050D0"/>
    <w:lvl w:ilvl="0" w:tplc="69987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51EAE"/>
    <w:multiLevelType w:val="hybridMultilevel"/>
    <w:tmpl w:val="5130FC9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23C56C4D"/>
    <w:multiLevelType w:val="hybridMultilevel"/>
    <w:tmpl w:val="288E2EDC"/>
    <w:lvl w:ilvl="0" w:tplc="699872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226AB1"/>
    <w:multiLevelType w:val="hybridMultilevel"/>
    <w:tmpl w:val="AA96C6EA"/>
    <w:lvl w:ilvl="0" w:tplc="693EE8D6">
      <w:start w:val="1"/>
      <w:numFmt w:val="bullet"/>
      <w:lvlText w:val=""/>
      <w:lvlJc w:val="left"/>
      <w:pPr>
        <w:ind w:left="12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11" w15:restartNumberingAfterBreak="0">
    <w:nsid w:val="26361D93"/>
    <w:multiLevelType w:val="hybridMultilevel"/>
    <w:tmpl w:val="874E31C0"/>
    <w:lvl w:ilvl="0" w:tplc="FFFFFFFF">
      <w:start w:val="1"/>
      <w:numFmt w:val="decimal"/>
      <w:lvlText w:val="%1."/>
      <w:lvlJc w:val="left"/>
      <w:pPr>
        <w:ind w:left="433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23CFC"/>
    <w:multiLevelType w:val="hybridMultilevel"/>
    <w:tmpl w:val="BC604DD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30871A8"/>
    <w:multiLevelType w:val="hybridMultilevel"/>
    <w:tmpl w:val="00A4E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6559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EE51E20"/>
    <w:multiLevelType w:val="hybridMultilevel"/>
    <w:tmpl w:val="EAD232B6"/>
    <w:lvl w:ilvl="0" w:tplc="699872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2C7E66"/>
    <w:multiLevelType w:val="hybridMultilevel"/>
    <w:tmpl w:val="BF2483F6"/>
    <w:lvl w:ilvl="0" w:tplc="7FDEDD6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D086D"/>
    <w:multiLevelType w:val="hybridMultilevel"/>
    <w:tmpl w:val="D6786FB8"/>
    <w:lvl w:ilvl="0" w:tplc="6E32DA68">
      <w:start w:val="1"/>
      <w:numFmt w:val="decimal"/>
      <w:lvlText w:val="%1.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0A278E">
      <w:start w:val="1"/>
      <w:numFmt w:val="decimal"/>
      <w:lvlText w:val="%2."/>
      <w:lvlJc w:val="left"/>
      <w:pPr>
        <w:ind w:left="7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0C611C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0E0B90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7AFB98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38C56A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84B412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0CABC0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8ABC2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43B40B8"/>
    <w:multiLevelType w:val="hybridMultilevel"/>
    <w:tmpl w:val="3C641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70DC3"/>
    <w:multiLevelType w:val="hybridMultilevel"/>
    <w:tmpl w:val="4B682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54CA1"/>
    <w:multiLevelType w:val="multilevel"/>
    <w:tmpl w:val="16CCE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1C62BE"/>
    <w:multiLevelType w:val="hybridMultilevel"/>
    <w:tmpl w:val="A4AE4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936FB"/>
    <w:multiLevelType w:val="hybridMultilevel"/>
    <w:tmpl w:val="EC9CCB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96098"/>
    <w:multiLevelType w:val="hybridMultilevel"/>
    <w:tmpl w:val="E84A0422"/>
    <w:lvl w:ilvl="0" w:tplc="CA743962">
      <w:start w:val="1"/>
      <w:numFmt w:val="lowerLetter"/>
      <w:lvlText w:val="%1)"/>
      <w:lvlJc w:val="left"/>
      <w:pPr>
        <w:ind w:left="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400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8C9D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363E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1AEF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2CDE5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B0B8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0ACD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C2C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05080E"/>
    <w:multiLevelType w:val="hybridMultilevel"/>
    <w:tmpl w:val="D15413E8"/>
    <w:lvl w:ilvl="0" w:tplc="693EE8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E75B52"/>
    <w:multiLevelType w:val="hybridMultilevel"/>
    <w:tmpl w:val="EC9CCB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8100A"/>
    <w:multiLevelType w:val="hybridMultilevel"/>
    <w:tmpl w:val="16F88C92"/>
    <w:lvl w:ilvl="0" w:tplc="69987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D328D"/>
    <w:multiLevelType w:val="multilevel"/>
    <w:tmpl w:val="62BC318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DF78E5"/>
    <w:multiLevelType w:val="hybridMultilevel"/>
    <w:tmpl w:val="99165C18"/>
    <w:lvl w:ilvl="0" w:tplc="79B45E36">
      <w:start w:val="1"/>
      <w:numFmt w:val="decimal"/>
      <w:lvlText w:val="%1."/>
      <w:lvlJc w:val="left"/>
      <w:pPr>
        <w:ind w:left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52C7B4">
      <w:start w:val="1"/>
      <w:numFmt w:val="lowerLetter"/>
      <w:lvlText w:val="%2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B432DE">
      <w:start w:val="1"/>
      <w:numFmt w:val="lowerRoman"/>
      <w:lvlText w:val="%3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AEE122">
      <w:start w:val="1"/>
      <w:numFmt w:val="decimal"/>
      <w:lvlText w:val="%4"/>
      <w:lvlJc w:val="left"/>
      <w:pPr>
        <w:ind w:left="2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86F15A">
      <w:start w:val="1"/>
      <w:numFmt w:val="lowerLetter"/>
      <w:lvlText w:val="%5"/>
      <w:lvlJc w:val="left"/>
      <w:pPr>
        <w:ind w:left="3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A2EC78">
      <w:start w:val="1"/>
      <w:numFmt w:val="lowerRoman"/>
      <w:lvlText w:val="%6"/>
      <w:lvlJc w:val="left"/>
      <w:pPr>
        <w:ind w:left="4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CACAA2">
      <w:start w:val="1"/>
      <w:numFmt w:val="decimal"/>
      <w:lvlText w:val="%7"/>
      <w:lvlJc w:val="left"/>
      <w:pPr>
        <w:ind w:left="4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34D83E">
      <w:start w:val="1"/>
      <w:numFmt w:val="lowerLetter"/>
      <w:lvlText w:val="%8"/>
      <w:lvlJc w:val="left"/>
      <w:pPr>
        <w:ind w:left="5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76CD6A">
      <w:start w:val="1"/>
      <w:numFmt w:val="lowerRoman"/>
      <w:lvlText w:val="%9"/>
      <w:lvlJc w:val="left"/>
      <w:pPr>
        <w:ind w:left="6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087299"/>
    <w:multiLevelType w:val="hybridMultilevel"/>
    <w:tmpl w:val="5950A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6E0"/>
    <w:multiLevelType w:val="multilevel"/>
    <w:tmpl w:val="7014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2E33D0"/>
    <w:multiLevelType w:val="hybridMultilevel"/>
    <w:tmpl w:val="D22C9E1C"/>
    <w:lvl w:ilvl="0" w:tplc="693EE8D6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2" w15:restartNumberingAfterBreak="0">
    <w:nsid w:val="7D296658"/>
    <w:multiLevelType w:val="hybridMultilevel"/>
    <w:tmpl w:val="14D0D152"/>
    <w:lvl w:ilvl="0" w:tplc="59BCFA16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D1CBD"/>
    <w:multiLevelType w:val="hybridMultilevel"/>
    <w:tmpl w:val="5C7C5BB0"/>
    <w:lvl w:ilvl="0" w:tplc="693EE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77533">
    <w:abstractNumId w:val="23"/>
  </w:num>
  <w:num w:numId="2" w16cid:durableId="1304852929">
    <w:abstractNumId w:val="17"/>
  </w:num>
  <w:num w:numId="3" w16cid:durableId="2098940032">
    <w:abstractNumId w:val="0"/>
  </w:num>
  <w:num w:numId="4" w16cid:durableId="1467115640">
    <w:abstractNumId w:val="19"/>
  </w:num>
  <w:num w:numId="5" w16cid:durableId="351683413">
    <w:abstractNumId w:val="29"/>
  </w:num>
  <w:num w:numId="6" w16cid:durableId="985625222">
    <w:abstractNumId w:val="18"/>
  </w:num>
  <w:num w:numId="7" w16cid:durableId="1334526614">
    <w:abstractNumId w:val="21"/>
  </w:num>
  <w:num w:numId="8" w16cid:durableId="79566251">
    <w:abstractNumId w:val="32"/>
  </w:num>
  <w:num w:numId="9" w16cid:durableId="1518353458">
    <w:abstractNumId w:val="16"/>
  </w:num>
  <w:num w:numId="10" w16cid:durableId="1003628495">
    <w:abstractNumId w:val="26"/>
  </w:num>
  <w:num w:numId="11" w16cid:durableId="466708973">
    <w:abstractNumId w:val="25"/>
  </w:num>
  <w:num w:numId="12" w16cid:durableId="64495115">
    <w:abstractNumId w:val="15"/>
  </w:num>
  <w:num w:numId="13" w16cid:durableId="120542320">
    <w:abstractNumId w:val="9"/>
  </w:num>
  <w:num w:numId="14" w16cid:durableId="1761219185">
    <w:abstractNumId w:val="22"/>
  </w:num>
  <w:num w:numId="15" w16cid:durableId="1509295024">
    <w:abstractNumId w:val="13"/>
  </w:num>
  <w:num w:numId="16" w16cid:durableId="1409423678">
    <w:abstractNumId w:val="6"/>
  </w:num>
  <w:num w:numId="17" w16cid:durableId="1533032882">
    <w:abstractNumId w:val="3"/>
  </w:num>
  <w:num w:numId="18" w16cid:durableId="1298297393">
    <w:abstractNumId w:val="14"/>
  </w:num>
  <w:num w:numId="19" w16cid:durableId="320080666">
    <w:abstractNumId w:val="4"/>
  </w:num>
  <w:num w:numId="20" w16cid:durableId="1280331969">
    <w:abstractNumId w:val="0"/>
  </w:num>
  <w:num w:numId="21" w16cid:durableId="552085649">
    <w:abstractNumId w:val="0"/>
  </w:num>
  <w:num w:numId="22" w16cid:durableId="205534421">
    <w:abstractNumId w:val="0"/>
  </w:num>
  <w:num w:numId="23" w16cid:durableId="424376179">
    <w:abstractNumId w:val="0"/>
  </w:num>
  <w:num w:numId="24" w16cid:durableId="97919489">
    <w:abstractNumId w:val="28"/>
  </w:num>
  <w:num w:numId="25" w16cid:durableId="1776903971">
    <w:abstractNumId w:val="31"/>
  </w:num>
  <w:num w:numId="26" w16cid:durableId="1029063908">
    <w:abstractNumId w:val="7"/>
  </w:num>
  <w:num w:numId="27" w16cid:durableId="1144810195">
    <w:abstractNumId w:val="24"/>
  </w:num>
  <w:num w:numId="28" w16cid:durableId="1682052751">
    <w:abstractNumId w:val="10"/>
  </w:num>
  <w:num w:numId="29" w16cid:durableId="1384914630">
    <w:abstractNumId w:val="27"/>
  </w:num>
  <w:num w:numId="30" w16cid:durableId="1260025614">
    <w:abstractNumId w:val="11"/>
  </w:num>
  <w:num w:numId="31" w16cid:durableId="1100029106">
    <w:abstractNumId w:val="1"/>
  </w:num>
  <w:num w:numId="32" w16cid:durableId="578100518">
    <w:abstractNumId w:val="33"/>
  </w:num>
  <w:num w:numId="33" w16cid:durableId="1923904894">
    <w:abstractNumId w:val="12"/>
  </w:num>
  <w:num w:numId="34" w16cid:durableId="554513077">
    <w:abstractNumId w:val="2"/>
  </w:num>
  <w:num w:numId="35" w16cid:durableId="1106923625">
    <w:abstractNumId w:val="8"/>
  </w:num>
  <w:num w:numId="36" w16cid:durableId="782263523">
    <w:abstractNumId w:val="0"/>
  </w:num>
  <w:num w:numId="37" w16cid:durableId="1688411268">
    <w:abstractNumId w:val="0"/>
  </w:num>
  <w:num w:numId="38" w16cid:durableId="431128419">
    <w:abstractNumId w:val="5"/>
  </w:num>
  <w:num w:numId="39" w16cid:durableId="1976400599">
    <w:abstractNumId w:val="20"/>
  </w:num>
  <w:num w:numId="40" w16cid:durableId="13946232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D58"/>
    <w:rsid w:val="000040ED"/>
    <w:rsid w:val="000113CA"/>
    <w:rsid w:val="00011B95"/>
    <w:rsid w:val="00022F74"/>
    <w:rsid w:val="0002586A"/>
    <w:rsid w:val="000303C9"/>
    <w:rsid w:val="000607B7"/>
    <w:rsid w:val="00062126"/>
    <w:rsid w:val="00067B7C"/>
    <w:rsid w:val="00070B73"/>
    <w:rsid w:val="00080141"/>
    <w:rsid w:val="000970EF"/>
    <w:rsid w:val="000A1A0D"/>
    <w:rsid w:val="000D797B"/>
    <w:rsid w:val="000E5215"/>
    <w:rsid w:val="000E6C88"/>
    <w:rsid w:val="000F142E"/>
    <w:rsid w:val="000F22C0"/>
    <w:rsid w:val="001112B1"/>
    <w:rsid w:val="00111CC2"/>
    <w:rsid w:val="001128B7"/>
    <w:rsid w:val="00123EA5"/>
    <w:rsid w:val="00140E57"/>
    <w:rsid w:val="00144E35"/>
    <w:rsid w:val="00170016"/>
    <w:rsid w:val="001753E3"/>
    <w:rsid w:val="001815F2"/>
    <w:rsid w:val="00183315"/>
    <w:rsid w:val="0019699D"/>
    <w:rsid w:val="001A3B5D"/>
    <w:rsid w:val="001A6E70"/>
    <w:rsid w:val="001C1C5E"/>
    <w:rsid w:val="001D015D"/>
    <w:rsid w:val="001D098D"/>
    <w:rsid w:val="001D1F7F"/>
    <w:rsid w:val="001E134B"/>
    <w:rsid w:val="001F3E94"/>
    <w:rsid w:val="001F69CF"/>
    <w:rsid w:val="00201422"/>
    <w:rsid w:val="00203E0E"/>
    <w:rsid w:val="002134CA"/>
    <w:rsid w:val="00220852"/>
    <w:rsid w:val="00222CE4"/>
    <w:rsid w:val="00227A1F"/>
    <w:rsid w:val="002361AB"/>
    <w:rsid w:val="002370F5"/>
    <w:rsid w:val="00245868"/>
    <w:rsid w:val="00247E4D"/>
    <w:rsid w:val="0025672B"/>
    <w:rsid w:val="00265755"/>
    <w:rsid w:val="0026585B"/>
    <w:rsid w:val="00266DD2"/>
    <w:rsid w:val="0027010A"/>
    <w:rsid w:val="002A3757"/>
    <w:rsid w:val="002E6C59"/>
    <w:rsid w:val="0030196E"/>
    <w:rsid w:val="003030F0"/>
    <w:rsid w:val="00310067"/>
    <w:rsid w:val="0031382F"/>
    <w:rsid w:val="00317538"/>
    <w:rsid w:val="00347A8A"/>
    <w:rsid w:val="00355AB1"/>
    <w:rsid w:val="003659CB"/>
    <w:rsid w:val="0038109F"/>
    <w:rsid w:val="0039630D"/>
    <w:rsid w:val="003A1F4F"/>
    <w:rsid w:val="003B076C"/>
    <w:rsid w:val="003B5B03"/>
    <w:rsid w:val="003D2137"/>
    <w:rsid w:val="003E38EC"/>
    <w:rsid w:val="003F0B50"/>
    <w:rsid w:val="003F79D3"/>
    <w:rsid w:val="00406CB2"/>
    <w:rsid w:val="00412E89"/>
    <w:rsid w:val="00447D56"/>
    <w:rsid w:val="00456021"/>
    <w:rsid w:val="00461FAE"/>
    <w:rsid w:val="00463717"/>
    <w:rsid w:val="00463FE6"/>
    <w:rsid w:val="00465572"/>
    <w:rsid w:val="004763FF"/>
    <w:rsid w:val="004773E6"/>
    <w:rsid w:val="00481450"/>
    <w:rsid w:val="004A0890"/>
    <w:rsid w:val="004A1D69"/>
    <w:rsid w:val="004B256C"/>
    <w:rsid w:val="004B4F0A"/>
    <w:rsid w:val="004B5208"/>
    <w:rsid w:val="004C329C"/>
    <w:rsid w:val="004D17B5"/>
    <w:rsid w:val="004F573F"/>
    <w:rsid w:val="00507935"/>
    <w:rsid w:val="00512155"/>
    <w:rsid w:val="005132FD"/>
    <w:rsid w:val="00514782"/>
    <w:rsid w:val="00516E00"/>
    <w:rsid w:val="00535314"/>
    <w:rsid w:val="00541E63"/>
    <w:rsid w:val="00543FD2"/>
    <w:rsid w:val="0054432F"/>
    <w:rsid w:val="0054520D"/>
    <w:rsid w:val="005618C1"/>
    <w:rsid w:val="00562D5C"/>
    <w:rsid w:val="00565E78"/>
    <w:rsid w:val="005666D5"/>
    <w:rsid w:val="00595232"/>
    <w:rsid w:val="005A628D"/>
    <w:rsid w:val="005B2A62"/>
    <w:rsid w:val="005C0F41"/>
    <w:rsid w:val="005D0A30"/>
    <w:rsid w:val="005F1CDC"/>
    <w:rsid w:val="005F225B"/>
    <w:rsid w:val="006158EC"/>
    <w:rsid w:val="0063283B"/>
    <w:rsid w:val="006429FD"/>
    <w:rsid w:val="00643600"/>
    <w:rsid w:val="00655459"/>
    <w:rsid w:val="006725EC"/>
    <w:rsid w:val="00684ECE"/>
    <w:rsid w:val="00687516"/>
    <w:rsid w:val="0069248D"/>
    <w:rsid w:val="0069750F"/>
    <w:rsid w:val="006B6ACA"/>
    <w:rsid w:val="006C18D6"/>
    <w:rsid w:val="006D5A36"/>
    <w:rsid w:val="006D6177"/>
    <w:rsid w:val="006D6E61"/>
    <w:rsid w:val="006D79D0"/>
    <w:rsid w:val="006E4C70"/>
    <w:rsid w:val="006E6B3C"/>
    <w:rsid w:val="006F2D08"/>
    <w:rsid w:val="00707F27"/>
    <w:rsid w:val="007110F1"/>
    <w:rsid w:val="00712372"/>
    <w:rsid w:val="00731FBB"/>
    <w:rsid w:val="007447BC"/>
    <w:rsid w:val="007511DC"/>
    <w:rsid w:val="00755653"/>
    <w:rsid w:val="00757E4A"/>
    <w:rsid w:val="0076656A"/>
    <w:rsid w:val="0077420D"/>
    <w:rsid w:val="007A617E"/>
    <w:rsid w:val="007B6D09"/>
    <w:rsid w:val="007C1647"/>
    <w:rsid w:val="007F451E"/>
    <w:rsid w:val="007F528A"/>
    <w:rsid w:val="00835968"/>
    <w:rsid w:val="00836576"/>
    <w:rsid w:val="0084237A"/>
    <w:rsid w:val="008522F8"/>
    <w:rsid w:val="00882914"/>
    <w:rsid w:val="00892E42"/>
    <w:rsid w:val="008B21A8"/>
    <w:rsid w:val="008E2242"/>
    <w:rsid w:val="00915FC9"/>
    <w:rsid w:val="009167D9"/>
    <w:rsid w:val="00921179"/>
    <w:rsid w:val="0093346C"/>
    <w:rsid w:val="00934C33"/>
    <w:rsid w:val="0096098D"/>
    <w:rsid w:val="00962359"/>
    <w:rsid w:val="00982EC1"/>
    <w:rsid w:val="00990AB8"/>
    <w:rsid w:val="009913C9"/>
    <w:rsid w:val="00994E81"/>
    <w:rsid w:val="009A4AB0"/>
    <w:rsid w:val="009A5BC8"/>
    <w:rsid w:val="009B4935"/>
    <w:rsid w:val="009B7F22"/>
    <w:rsid w:val="009C2C71"/>
    <w:rsid w:val="009F2790"/>
    <w:rsid w:val="009F36A0"/>
    <w:rsid w:val="009F4464"/>
    <w:rsid w:val="00A14559"/>
    <w:rsid w:val="00A15B82"/>
    <w:rsid w:val="00A346C5"/>
    <w:rsid w:val="00A34A00"/>
    <w:rsid w:val="00A41E7C"/>
    <w:rsid w:val="00A52D62"/>
    <w:rsid w:val="00A6750A"/>
    <w:rsid w:val="00A80D61"/>
    <w:rsid w:val="00A81356"/>
    <w:rsid w:val="00A86095"/>
    <w:rsid w:val="00A927AF"/>
    <w:rsid w:val="00A92C1C"/>
    <w:rsid w:val="00AA002F"/>
    <w:rsid w:val="00AA34D7"/>
    <w:rsid w:val="00AD4101"/>
    <w:rsid w:val="00AE4BDB"/>
    <w:rsid w:val="00AF5ED9"/>
    <w:rsid w:val="00B006B7"/>
    <w:rsid w:val="00B17364"/>
    <w:rsid w:val="00B2782D"/>
    <w:rsid w:val="00B31264"/>
    <w:rsid w:val="00B32CCF"/>
    <w:rsid w:val="00B42428"/>
    <w:rsid w:val="00B532AB"/>
    <w:rsid w:val="00B631B1"/>
    <w:rsid w:val="00B639C6"/>
    <w:rsid w:val="00B6504B"/>
    <w:rsid w:val="00B74D34"/>
    <w:rsid w:val="00B963BB"/>
    <w:rsid w:val="00B97F72"/>
    <w:rsid w:val="00BA0D33"/>
    <w:rsid w:val="00BA3C8B"/>
    <w:rsid w:val="00BD07BA"/>
    <w:rsid w:val="00BE6E7B"/>
    <w:rsid w:val="00C10D58"/>
    <w:rsid w:val="00C136E1"/>
    <w:rsid w:val="00C26F22"/>
    <w:rsid w:val="00C33E27"/>
    <w:rsid w:val="00C41EB9"/>
    <w:rsid w:val="00C46853"/>
    <w:rsid w:val="00C551EA"/>
    <w:rsid w:val="00C663F9"/>
    <w:rsid w:val="00C77844"/>
    <w:rsid w:val="00C80B74"/>
    <w:rsid w:val="00C94CF1"/>
    <w:rsid w:val="00CB2151"/>
    <w:rsid w:val="00CB6D5C"/>
    <w:rsid w:val="00CC164B"/>
    <w:rsid w:val="00CC1E3C"/>
    <w:rsid w:val="00CC3575"/>
    <w:rsid w:val="00CC4DF6"/>
    <w:rsid w:val="00CD2C5E"/>
    <w:rsid w:val="00CD57F7"/>
    <w:rsid w:val="00CF2AB1"/>
    <w:rsid w:val="00CF6757"/>
    <w:rsid w:val="00CF729B"/>
    <w:rsid w:val="00D06AD3"/>
    <w:rsid w:val="00D1180A"/>
    <w:rsid w:val="00D123CD"/>
    <w:rsid w:val="00D20B79"/>
    <w:rsid w:val="00D27021"/>
    <w:rsid w:val="00D440E2"/>
    <w:rsid w:val="00D53DD6"/>
    <w:rsid w:val="00D67415"/>
    <w:rsid w:val="00D74318"/>
    <w:rsid w:val="00DA33AE"/>
    <w:rsid w:val="00DC4361"/>
    <w:rsid w:val="00DC4C1F"/>
    <w:rsid w:val="00DE1FB0"/>
    <w:rsid w:val="00DE4922"/>
    <w:rsid w:val="00DE786A"/>
    <w:rsid w:val="00DF227B"/>
    <w:rsid w:val="00DF4FE2"/>
    <w:rsid w:val="00E0232A"/>
    <w:rsid w:val="00E04A52"/>
    <w:rsid w:val="00E11A29"/>
    <w:rsid w:val="00E139CB"/>
    <w:rsid w:val="00E24DE9"/>
    <w:rsid w:val="00E565B5"/>
    <w:rsid w:val="00E603B5"/>
    <w:rsid w:val="00E625C0"/>
    <w:rsid w:val="00E7154D"/>
    <w:rsid w:val="00E76817"/>
    <w:rsid w:val="00E839DE"/>
    <w:rsid w:val="00E90990"/>
    <w:rsid w:val="00EA21F7"/>
    <w:rsid w:val="00ED1CA8"/>
    <w:rsid w:val="00EE1044"/>
    <w:rsid w:val="00EE4C65"/>
    <w:rsid w:val="00EF0C9F"/>
    <w:rsid w:val="00F131DE"/>
    <w:rsid w:val="00F167C0"/>
    <w:rsid w:val="00F16A48"/>
    <w:rsid w:val="00F249FC"/>
    <w:rsid w:val="00F25D8D"/>
    <w:rsid w:val="00F26E81"/>
    <w:rsid w:val="00F36430"/>
    <w:rsid w:val="00F42E96"/>
    <w:rsid w:val="00F51A85"/>
    <w:rsid w:val="00F5419B"/>
    <w:rsid w:val="00F81E5F"/>
    <w:rsid w:val="00F82098"/>
    <w:rsid w:val="00F82AC2"/>
    <w:rsid w:val="00F844D2"/>
    <w:rsid w:val="00FA257A"/>
    <w:rsid w:val="00FA2D7A"/>
    <w:rsid w:val="00FA4D90"/>
    <w:rsid w:val="00FA7A93"/>
    <w:rsid w:val="00FB45D4"/>
    <w:rsid w:val="00FE0225"/>
    <w:rsid w:val="00FE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B74E9"/>
  <w15:docId w15:val="{F1E58E01-A2A8-4F6B-9FB0-4E1E886E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68" w:lineRule="auto"/>
      <w:ind w:left="10" w:right="2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spacing w:after="0"/>
      <w:outlineLvl w:val="0"/>
    </w:pPr>
    <w:rPr>
      <w:rFonts w:ascii="Arial" w:eastAsia="Arial" w:hAnsi="Arial" w:cs="Arial"/>
      <w:b/>
      <w:color w:val="000000"/>
      <w:sz w:val="2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6D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  <w:u w:val="single" w:color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1" w:lineRule="auto"/>
      <w:jc w:val="both"/>
    </w:pPr>
    <w:rPr>
      <w:rFonts w:ascii="Arial" w:eastAsia="Arial" w:hAnsi="Arial" w:cs="Arial"/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i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Akapitzlist">
    <w:name w:val="List Paragraph"/>
    <w:aliases w:val="Numerowanie,List Paragraph,Akapit z listą BS,Akapit z listą11,Numbered Para 1,No Spacing1,List Paragraph Char Char Char,Indicator Text,Listaszerű bekezdés1,List Paragraph à moi,Bullet 1,Akapit z list¹1,F5 List Paragraph,Recommendation,3,L"/>
    <w:basedOn w:val="Normalny"/>
    <w:link w:val="AkapitzlistZnak"/>
    <w:uiPriority w:val="34"/>
    <w:qFormat/>
    <w:rsid w:val="00B1736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75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75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750F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75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750F"/>
    <w:rPr>
      <w:rFonts w:ascii="Arial" w:eastAsia="Arial" w:hAnsi="Arial" w:cs="Arial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69750F"/>
    <w:pPr>
      <w:spacing w:after="0" w:line="240" w:lineRule="auto"/>
    </w:pPr>
    <w:rPr>
      <w:rFonts w:ascii="Arial" w:eastAsia="Arial" w:hAnsi="Arial" w:cs="Arial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FBB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D5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5A36"/>
    <w:rPr>
      <w:rFonts w:ascii="Arial" w:eastAsia="Arial" w:hAnsi="Arial" w:cs="Arial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21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2137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2137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Akapit z listą11 Znak,Numbered Para 1 Znak,No Spacing1 Znak,List Paragraph Char Char Char Znak,Indicator Text Znak,Listaszerű bekezdés1 Znak,List Paragraph à moi Znak,3 Znak"/>
    <w:basedOn w:val="Domylnaczcionkaakapitu"/>
    <w:link w:val="Akapitzlist"/>
    <w:uiPriority w:val="1"/>
    <w:qFormat/>
    <w:rsid w:val="00DE1FB0"/>
    <w:rPr>
      <w:rFonts w:ascii="Arial" w:eastAsia="Arial" w:hAnsi="Arial" w:cs="Arial"/>
      <w:color w:val="000000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6D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A30AB-4AC7-411B-8769-A74550A3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8</Pages>
  <Words>2520</Words>
  <Characters>15125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wydatków FELB.02.09-IZ.00-001_23</vt:lpstr>
    </vt:vector>
  </TitlesOfParts>
  <Company/>
  <LinksUpToDate>false</LinksUpToDate>
  <CharactersWithSpaces>17610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wydatków FELB.02.09-IZ.00-001_23</dc:title>
  <dc:subject/>
  <dc:creator>a.ogorzalek</dc:creator>
  <cp:keywords/>
  <cp:lastModifiedBy>Korach Angelika</cp:lastModifiedBy>
  <cp:revision>61</cp:revision>
  <cp:lastPrinted>2025-02-26T10:34:00Z</cp:lastPrinted>
  <dcterms:created xsi:type="dcterms:W3CDTF">2025-02-21T09:32:00Z</dcterms:created>
  <dcterms:modified xsi:type="dcterms:W3CDTF">2026-03-23T12:46:00Z</dcterms:modified>
</cp:coreProperties>
</file>